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68DCC" w14:textId="1CE66F2B" w:rsidR="00D52A39" w:rsidRDefault="00D52A39" w:rsidP="00D52A39">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w:t>
      </w:r>
      <w:r w:rsidR="00772A9B">
        <w:rPr>
          <w:rFonts w:cs="Arial"/>
          <w:sz w:val="22"/>
        </w:rPr>
        <w:t>1</w:t>
      </w:r>
      <w:r>
        <w:rPr>
          <w:rFonts w:cs="Arial"/>
          <w:sz w:val="22"/>
        </w:rPr>
        <w:tab/>
        <w:t>R1-</w:t>
      </w:r>
      <w:r w:rsidR="009F216F">
        <w:rPr>
          <w:rFonts w:cs="Arial"/>
          <w:sz w:val="22"/>
        </w:rPr>
        <w:t>2503642</w:t>
      </w:r>
    </w:p>
    <w:p w14:paraId="281A9E2E" w14:textId="68CE4825" w:rsidR="0033686A" w:rsidRDefault="00772A9B">
      <w:pPr>
        <w:pStyle w:val="3GPPHeader"/>
        <w:tabs>
          <w:tab w:val="clear" w:pos="1800"/>
          <w:tab w:val="left" w:pos="1580"/>
        </w:tabs>
        <w:snapToGrid w:val="0"/>
        <w:ind w:left="0"/>
        <w:rPr>
          <w:rFonts w:eastAsia="MS Mincho" w:cs="Arial"/>
          <w:bCs/>
          <w:kern w:val="0"/>
          <w:sz w:val="22"/>
          <w:lang w:eastAsia="ja-JP"/>
        </w:rPr>
      </w:pPr>
      <w:r w:rsidRPr="00772A9B">
        <w:rPr>
          <w:rFonts w:eastAsia="MS Mincho" w:cs="Arial"/>
          <w:bCs/>
          <w:kern w:val="0"/>
          <w:sz w:val="22"/>
          <w:lang w:eastAsia="ja-JP"/>
        </w:rPr>
        <w:t>St Julian’s, Malta, May 19</w:t>
      </w:r>
      <w:r w:rsidRPr="00772A9B">
        <w:rPr>
          <w:rFonts w:eastAsia="MS Mincho" w:cs="Arial"/>
          <w:bCs/>
          <w:kern w:val="0"/>
          <w:sz w:val="22"/>
          <w:vertAlign w:val="superscript"/>
          <w:lang w:eastAsia="ja-JP"/>
        </w:rPr>
        <w:t>th</w:t>
      </w:r>
      <w:r w:rsidRPr="00772A9B">
        <w:rPr>
          <w:rFonts w:eastAsia="MS Mincho" w:cs="Arial"/>
          <w:bCs/>
          <w:kern w:val="0"/>
          <w:sz w:val="22"/>
          <w:lang w:eastAsia="ja-JP"/>
        </w:rPr>
        <w:t xml:space="preserve"> – 23</w:t>
      </w:r>
      <w:r w:rsidRPr="00772A9B">
        <w:rPr>
          <w:rFonts w:eastAsia="MS Mincho" w:cs="Arial"/>
          <w:bCs/>
          <w:kern w:val="0"/>
          <w:sz w:val="22"/>
          <w:vertAlign w:val="superscript"/>
          <w:lang w:eastAsia="ja-JP"/>
        </w:rPr>
        <w:t>th</w:t>
      </w:r>
      <w:r w:rsidRPr="00772A9B">
        <w:rPr>
          <w:rFonts w:eastAsia="MS Mincho" w:cs="Arial"/>
          <w:bCs/>
          <w:kern w:val="0"/>
          <w:sz w:val="22"/>
          <w:lang w:eastAsia="ja-JP"/>
        </w:rPr>
        <w:t>, 2025</w:t>
      </w:r>
    </w:p>
    <w:p w14:paraId="4CB2A1A9" w14:textId="77777777" w:rsidR="00772A9B" w:rsidRPr="00772A9B" w:rsidRDefault="00772A9B">
      <w:pPr>
        <w:pStyle w:val="3GPPHeader"/>
        <w:tabs>
          <w:tab w:val="clear" w:pos="1800"/>
          <w:tab w:val="left" w:pos="1580"/>
        </w:tabs>
        <w:snapToGrid w:val="0"/>
        <w:ind w:left="0"/>
        <w:rPr>
          <w:rFonts w:cs="Arial"/>
          <w:bCs/>
        </w:rPr>
      </w:pPr>
    </w:p>
    <w:p w14:paraId="20331C9C" w14:textId="44E45702" w:rsidR="0033686A" w:rsidRDefault="00792793">
      <w:pPr>
        <w:pStyle w:val="3GPPHeader"/>
        <w:tabs>
          <w:tab w:val="clear" w:pos="1800"/>
          <w:tab w:val="left" w:pos="1580"/>
        </w:tabs>
        <w:snapToGrid w:val="0"/>
        <w:ind w:left="0"/>
        <w:rPr>
          <w:rFonts w:cs="Arial"/>
          <w:sz w:val="22"/>
        </w:rPr>
      </w:pPr>
      <w:r>
        <w:rPr>
          <w:rFonts w:cs="Arial"/>
          <w:sz w:val="22"/>
        </w:rPr>
        <w:t>Source:</w:t>
      </w:r>
      <w:r>
        <w:rPr>
          <w:rFonts w:cs="Arial"/>
          <w:sz w:val="22"/>
        </w:rPr>
        <w:tab/>
      </w:r>
      <w:r w:rsidR="00D52A39">
        <w:rPr>
          <w:rFonts w:cs="Arial"/>
          <w:sz w:val="22"/>
        </w:rPr>
        <w:t xml:space="preserve">ZTE Corporation, </w:t>
      </w:r>
      <w:proofErr w:type="spellStart"/>
      <w:r w:rsidR="00D52A39">
        <w:rPr>
          <w:rFonts w:cs="Arial"/>
          <w:sz w:val="22"/>
        </w:rPr>
        <w:t>Sanechips</w:t>
      </w:r>
      <w:proofErr w:type="spellEnd"/>
    </w:p>
    <w:p w14:paraId="63DD549A" w14:textId="4B2ECFF7" w:rsidR="0033686A" w:rsidRDefault="00792793">
      <w:pPr>
        <w:pStyle w:val="3GPPHeader"/>
        <w:tabs>
          <w:tab w:val="clear" w:pos="1800"/>
          <w:tab w:val="left" w:pos="1580"/>
        </w:tabs>
        <w:snapToGrid w:val="0"/>
        <w:ind w:left="0"/>
        <w:rPr>
          <w:rFonts w:cs="Arial"/>
          <w:sz w:val="22"/>
        </w:rPr>
      </w:pPr>
      <w:r>
        <w:rPr>
          <w:rFonts w:cs="Arial"/>
          <w:sz w:val="22"/>
        </w:rPr>
        <w:t>Title:</w:t>
      </w:r>
      <w:r>
        <w:rPr>
          <w:rFonts w:cs="Arial"/>
          <w:sz w:val="22"/>
        </w:rPr>
        <w:tab/>
      </w:r>
      <w:r w:rsidR="00EC2F3A" w:rsidRPr="00EC2F3A">
        <w:rPr>
          <w:rFonts w:cs="Arial"/>
          <w:sz w:val="22"/>
        </w:rPr>
        <w:t>Discussion on the UE feature for IoT-NTN TDD</w:t>
      </w:r>
    </w:p>
    <w:p w14:paraId="3D03802C" w14:textId="64445F40" w:rsidR="0033686A" w:rsidRDefault="00792793">
      <w:pPr>
        <w:pStyle w:val="3GPPHeader"/>
        <w:tabs>
          <w:tab w:val="clear" w:pos="1800"/>
          <w:tab w:val="left" w:pos="1580"/>
        </w:tabs>
        <w:snapToGrid w:val="0"/>
        <w:ind w:left="0"/>
        <w:rPr>
          <w:rFonts w:cs="Arial"/>
          <w:sz w:val="22"/>
        </w:rPr>
      </w:pPr>
      <w:r>
        <w:rPr>
          <w:rFonts w:cs="Arial"/>
          <w:sz w:val="22"/>
        </w:rPr>
        <w:t>Agenda Item:</w:t>
      </w:r>
      <w:r>
        <w:rPr>
          <w:rFonts w:cs="Arial"/>
          <w:sz w:val="22"/>
        </w:rPr>
        <w:tab/>
      </w:r>
      <w:r w:rsidR="00D52A39">
        <w:rPr>
          <w:rFonts w:cs="Arial"/>
          <w:sz w:val="22"/>
        </w:rPr>
        <w:t>9.15.</w:t>
      </w:r>
      <w:r w:rsidR="00EC2F3A">
        <w:rPr>
          <w:rFonts w:cs="Arial"/>
          <w:sz w:val="22"/>
        </w:rPr>
        <w:t>10</w:t>
      </w:r>
    </w:p>
    <w:p w14:paraId="4A58E4DC" w14:textId="2FD342AE" w:rsidR="0033686A" w:rsidRPr="00BA53C1" w:rsidRDefault="00792793">
      <w:pPr>
        <w:pBdr>
          <w:bottom w:val="single" w:sz="6" w:space="1" w:color="auto"/>
        </w:pBdr>
        <w:snapToGrid w:val="0"/>
        <w:ind w:left="0"/>
        <w:rPr>
          <w:rFonts w:ascii="Arial" w:hAnsi="Arial" w:cs="Arial"/>
          <w:b/>
          <w:sz w:val="22"/>
          <w:szCs w:val="28"/>
        </w:rPr>
      </w:pPr>
      <w:r w:rsidRPr="00BA53C1">
        <w:rPr>
          <w:rFonts w:ascii="Arial" w:hAnsi="Arial" w:cs="Arial"/>
          <w:b/>
          <w:sz w:val="22"/>
          <w:szCs w:val="28"/>
        </w:rPr>
        <w:t>Document for: Discussion</w:t>
      </w:r>
    </w:p>
    <w:p w14:paraId="4F50B3B2" w14:textId="77777777"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101C5A5B" w14:textId="3DDC6495" w:rsidR="00D52A39" w:rsidRPr="00D52A39" w:rsidRDefault="00D3047E" w:rsidP="00D52A39">
      <w:pPr>
        <w:spacing w:beforeLines="50" w:before="120" w:afterLines="50" w:after="120"/>
        <w:ind w:left="0"/>
        <w:rPr>
          <w:rFonts w:eastAsia="宋体"/>
          <w:szCs w:val="20"/>
          <w:lang w:eastAsia="zh-CN"/>
        </w:rPr>
      </w:pPr>
      <w:bookmarkStart w:id="3" w:name="_Ref54269283"/>
      <w:r w:rsidRPr="00D3047E">
        <w:rPr>
          <w:rFonts w:eastAsia="宋体"/>
          <w:szCs w:val="20"/>
          <w:lang w:eastAsia="zh-CN"/>
        </w:rPr>
        <w:t>The latest version of UE features list for IoT-NTN</w:t>
      </w:r>
      <w:r>
        <w:rPr>
          <w:rFonts w:eastAsia="宋体"/>
          <w:szCs w:val="20"/>
          <w:lang w:eastAsia="zh-CN"/>
        </w:rPr>
        <w:t xml:space="preserve"> </w:t>
      </w:r>
      <w:r>
        <w:rPr>
          <w:rFonts w:eastAsia="宋体" w:hint="eastAsia"/>
          <w:szCs w:val="20"/>
          <w:lang w:eastAsia="zh-CN"/>
        </w:rPr>
        <w:t>TDD</w:t>
      </w:r>
      <w:r w:rsidRPr="00D3047E">
        <w:rPr>
          <w:rFonts w:eastAsia="宋体"/>
          <w:szCs w:val="20"/>
          <w:lang w:eastAsia="zh-CN"/>
        </w:rPr>
        <w:t xml:space="preserve"> is provided in [1]. In this contribution, our views on some features are elaborated with corresponding updates.</w:t>
      </w:r>
    </w:p>
    <w:p w14:paraId="412D99A5" w14:textId="517BF3BB"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UE feature for </w:t>
      </w:r>
      <w:r w:rsidR="0020158B" w:rsidRPr="0020158B">
        <w:rPr>
          <w:rFonts w:eastAsia="黑体" w:cs="Times New Roman"/>
          <w:b/>
          <w:bCs/>
          <w:sz w:val="28"/>
          <w:szCs w:val="30"/>
          <w:lang w:val="en-US"/>
        </w:rPr>
        <w:t>IoT-NTN TDD</w:t>
      </w:r>
    </w:p>
    <w:p w14:paraId="5621D196" w14:textId="328BFE80" w:rsidR="00916A4F" w:rsidRDefault="00916A4F" w:rsidP="00D52A39">
      <w:pPr>
        <w:spacing w:before="120" w:after="120" w:line="240" w:lineRule="auto"/>
        <w:ind w:left="0"/>
        <w:rPr>
          <w:rFonts w:eastAsiaTheme="minorEastAsia"/>
          <w:szCs w:val="20"/>
          <w:lang w:eastAsia="zh-CN"/>
        </w:rPr>
      </w:pPr>
      <w:r w:rsidRPr="00916A4F">
        <w:rPr>
          <w:rFonts w:eastAsiaTheme="minorEastAsia"/>
          <w:szCs w:val="20"/>
          <w:lang w:eastAsia="zh-CN"/>
        </w:rPr>
        <w:t xml:space="preserve">As lists in Table 1, following </w:t>
      </w:r>
      <w:r w:rsidR="00002336">
        <w:rPr>
          <w:rFonts w:eastAsiaTheme="minorEastAsia"/>
          <w:szCs w:val="20"/>
          <w:lang w:eastAsia="zh-CN"/>
        </w:rPr>
        <w:t>changes</w:t>
      </w:r>
      <w:r w:rsidRPr="00916A4F">
        <w:rPr>
          <w:rFonts w:eastAsiaTheme="minorEastAsia"/>
          <w:szCs w:val="20"/>
          <w:lang w:eastAsia="zh-CN"/>
        </w:rPr>
        <w:t xml:space="preserve"> </w:t>
      </w:r>
      <w:r w:rsidR="00002336">
        <w:rPr>
          <w:rFonts w:eastAsiaTheme="minorEastAsia"/>
          <w:szCs w:val="20"/>
          <w:lang w:eastAsia="zh-CN"/>
        </w:rPr>
        <w:t>are</w:t>
      </w:r>
      <w:r w:rsidRPr="00916A4F">
        <w:rPr>
          <w:rFonts w:eastAsiaTheme="minorEastAsia"/>
          <w:szCs w:val="20"/>
          <w:lang w:eastAsia="zh-CN"/>
        </w:rPr>
        <w:t xml:space="preserve"> suggested:</w:t>
      </w:r>
    </w:p>
    <w:p w14:paraId="3BA312AA" w14:textId="4C457C3E" w:rsidR="00916A4F" w:rsidRPr="008A3BE8" w:rsidRDefault="00D1459A" w:rsidP="008C5C28">
      <w:pPr>
        <w:pStyle w:val="aff7"/>
        <w:numPr>
          <w:ilvl w:val="0"/>
          <w:numId w:val="24"/>
        </w:numPr>
        <w:spacing w:before="120" w:after="120"/>
        <w:ind w:leftChars="0"/>
        <w:rPr>
          <w:rFonts w:eastAsiaTheme="minorEastAsia"/>
          <w:szCs w:val="20"/>
          <w:lang w:val="en-US" w:eastAsia="zh-CN"/>
        </w:rPr>
      </w:pPr>
      <w:r w:rsidRPr="008C5C28">
        <w:rPr>
          <w:rFonts w:eastAsiaTheme="minorEastAsia"/>
          <w:szCs w:val="20"/>
          <w:lang w:eastAsia="zh-CN"/>
        </w:rPr>
        <w:t>Regarding pre</w:t>
      </w:r>
      <w:r w:rsidR="00A622B1" w:rsidRPr="008C5C28">
        <w:rPr>
          <w:rFonts w:eastAsiaTheme="minorEastAsia"/>
          <w:szCs w:val="20"/>
          <w:lang w:eastAsia="zh-CN"/>
        </w:rPr>
        <w:t xml:space="preserve">-requisite, </w:t>
      </w:r>
      <w:r w:rsidR="00A622B1" w:rsidRPr="008C5C28">
        <w:rPr>
          <w:rFonts w:cs="Arial"/>
          <w:color w:val="000000"/>
        </w:rPr>
        <w:t xml:space="preserve">Rel-17 2-1b is preferred to be pre-requisite of the FG 2-1. </w:t>
      </w:r>
      <w:r w:rsidR="00526943" w:rsidRPr="008A3BE8">
        <w:rPr>
          <w:rFonts w:cs="Arial"/>
          <w:color w:val="000000"/>
        </w:rPr>
        <w:t xml:space="preserve">For Rel-18 feature, this is taken as the pre-requisite already and same way is expected for Rel-19 feature. Additionally, it’s also beneficial to let the UE to report whether some Rel-18 features are supported or not since the same pre-requisite is shared. For example. </w:t>
      </w:r>
      <w:r w:rsidR="00A622B1" w:rsidRPr="008A3BE8">
        <w:rPr>
          <w:rFonts w:cs="Arial"/>
          <w:color w:val="000000"/>
        </w:rPr>
        <w:t xml:space="preserve">if beneficial, </w:t>
      </w:r>
      <w:r w:rsidR="00526943" w:rsidRPr="008A3BE8">
        <w:rPr>
          <w:rFonts w:cs="Arial"/>
          <w:color w:val="000000"/>
        </w:rPr>
        <w:t xml:space="preserve">the UE can additionally report to support the </w:t>
      </w:r>
      <w:r w:rsidR="00A622B1" w:rsidRPr="008A3BE8">
        <w:rPr>
          <w:rFonts w:cs="Arial"/>
          <w:color w:val="000000"/>
        </w:rPr>
        <w:t>GNSS position fix in connected state</w:t>
      </w:r>
      <w:r w:rsidR="00002336" w:rsidRPr="008A3BE8">
        <w:rPr>
          <w:rFonts w:cs="Arial"/>
          <w:color w:val="000000"/>
        </w:rPr>
        <w:t xml:space="preserve"> (Rel-18 2-3b)</w:t>
      </w:r>
      <w:r w:rsidR="00526943" w:rsidRPr="008A3BE8">
        <w:rPr>
          <w:rFonts w:cs="Arial"/>
          <w:color w:val="000000"/>
        </w:rPr>
        <w:t xml:space="preserve"> as combined UE feature with Rel-19</w:t>
      </w:r>
      <w:r w:rsidR="00A622B1" w:rsidRPr="008A3BE8">
        <w:rPr>
          <w:rFonts w:cs="Arial"/>
          <w:color w:val="000000"/>
        </w:rPr>
        <w:t xml:space="preserve">. </w:t>
      </w:r>
      <w:r w:rsidR="00526943" w:rsidRPr="008A3BE8">
        <w:rPr>
          <w:rFonts w:cs="Arial"/>
          <w:color w:val="000000"/>
          <w:lang w:val="en-US"/>
        </w:rPr>
        <w:t>Otherwise</w:t>
      </w:r>
      <w:r w:rsidR="008C5C28" w:rsidRPr="008A3BE8">
        <w:rPr>
          <w:rFonts w:cs="Arial"/>
          <w:color w:val="000000"/>
          <w:lang w:val="en-US"/>
        </w:rPr>
        <w:t xml:space="preserve">, </w:t>
      </w:r>
      <w:r w:rsidR="008C5C28" w:rsidRPr="008A3BE8">
        <w:rPr>
          <w:rFonts w:cs="Arial"/>
          <w:color w:val="000000"/>
        </w:rPr>
        <w:t>additional</w:t>
      </w:r>
      <w:r w:rsidR="00A622B1" w:rsidRPr="008A3BE8">
        <w:rPr>
          <w:rFonts w:cs="Arial"/>
          <w:color w:val="000000"/>
        </w:rPr>
        <w:t xml:space="preserve"> </w:t>
      </w:r>
      <w:r w:rsidR="00002336" w:rsidRPr="008A3BE8">
        <w:rPr>
          <w:rFonts w:cs="Arial"/>
          <w:color w:val="000000"/>
        </w:rPr>
        <w:t xml:space="preserve">FG </w:t>
      </w:r>
      <w:r w:rsidR="00A622B1" w:rsidRPr="008A3BE8">
        <w:rPr>
          <w:rFonts w:cs="Arial"/>
          <w:color w:val="000000"/>
        </w:rPr>
        <w:t>will need to be specified</w:t>
      </w:r>
      <w:r w:rsidR="00002336" w:rsidRPr="008A3BE8">
        <w:rPr>
          <w:rFonts w:cs="Arial"/>
          <w:color w:val="000000"/>
        </w:rPr>
        <w:t xml:space="preserve"> to support</w:t>
      </w:r>
      <w:r w:rsidR="00A622B1" w:rsidRPr="008A3BE8">
        <w:rPr>
          <w:rFonts w:cs="Arial"/>
          <w:color w:val="000000"/>
        </w:rPr>
        <w:t xml:space="preserve"> </w:t>
      </w:r>
      <w:r w:rsidR="000F2DED" w:rsidRPr="008A3BE8">
        <w:rPr>
          <w:rFonts w:cs="Arial"/>
          <w:color w:val="000000"/>
        </w:rPr>
        <w:t>the legacy IoT-NTN UE features</w:t>
      </w:r>
      <w:r w:rsidR="00A622B1" w:rsidRPr="008A3BE8">
        <w:rPr>
          <w:rFonts w:cs="Arial"/>
          <w:color w:val="000000"/>
        </w:rPr>
        <w:t xml:space="preserve"> </w:t>
      </w:r>
      <w:r w:rsidR="000F2DED" w:rsidRPr="008A3BE8">
        <w:rPr>
          <w:rFonts w:cs="Arial"/>
          <w:color w:val="000000"/>
        </w:rPr>
        <w:t>in</w:t>
      </w:r>
      <w:r w:rsidR="00A622B1" w:rsidRPr="008A3BE8">
        <w:rPr>
          <w:rFonts w:cs="Arial"/>
          <w:color w:val="000000"/>
        </w:rPr>
        <w:t xml:space="preserve"> IoT-NTN TDD mode</w:t>
      </w:r>
      <w:r w:rsidR="00002336" w:rsidRPr="008A3BE8">
        <w:rPr>
          <w:rFonts w:cs="Arial"/>
          <w:color w:val="000000"/>
        </w:rPr>
        <w:t>, which complicates the specification and design</w:t>
      </w:r>
      <w:r w:rsidR="00A622B1" w:rsidRPr="008A3BE8">
        <w:rPr>
          <w:rFonts w:cs="Arial"/>
          <w:color w:val="000000"/>
        </w:rPr>
        <w:t>.</w:t>
      </w:r>
    </w:p>
    <w:p w14:paraId="33A96E74" w14:textId="32E5C12D" w:rsidR="008D0862" w:rsidRDefault="008D0862" w:rsidP="00002336">
      <w:pPr>
        <w:pStyle w:val="aff7"/>
        <w:numPr>
          <w:ilvl w:val="0"/>
          <w:numId w:val="24"/>
        </w:numPr>
        <w:spacing w:before="120" w:after="120"/>
        <w:ind w:leftChars="0"/>
        <w:rPr>
          <w:rFonts w:eastAsiaTheme="minorEastAsia"/>
          <w:szCs w:val="20"/>
          <w:lang w:val="en-US" w:eastAsia="zh-CN"/>
        </w:rPr>
      </w:pPr>
      <w:r>
        <w:rPr>
          <w:rFonts w:eastAsiaTheme="minorEastAsia"/>
          <w:szCs w:val="20"/>
          <w:lang w:val="en-US" w:eastAsia="zh-CN"/>
        </w:rPr>
        <w:t xml:space="preserve">Regarding the column of type, “per band” is preferred since IoT-NTN TDD mode will only be supported for </w:t>
      </w:r>
      <w:r w:rsidRPr="008D0862">
        <w:rPr>
          <w:rFonts w:eastAsiaTheme="minorEastAsia"/>
          <w:szCs w:val="20"/>
          <w:lang w:val="en-US" w:eastAsia="zh-CN"/>
        </w:rPr>
        <w:t>1616-1626.5 MHz MSS allocated band</w:t>
      </w:r>
      <w:r>
        <w:rPr>
          <w:rFonts w:eastAsiaTheme="minorEastAsia"/>
          <w:szCs w:val="20"/>
          <w:lang w:val="en-US" w:eastAsia="zh-CN"/>
        </w:rPr>
        <w:t>. UE does not need to support this feature in other bands.</w:t>
      </w:r>
    </w:p>
    <w:p w14:paraId="3330AC6C" w14:textId="2717B7A9" w:rsidR="008D0862" w:rsidRDefault="008D0862" w:rsidP="00002336">
      <w:pPr>
        <w:pStyle w:val="aff7"/>
        <w:numPr>
          <w:ilvl w:val="0"/>
          <w:numId w:val="24"/>
        </w:numPr>
        <w:spacing w:before="120" w:after="120"/>
        <w:ind w:leftChars="0"/>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 xml:space="preserve">he FG is only applicable for TDD </w:t>
      </w:r>
      <w:r w:rsidR="009E2106">
        <w:rPr>
          <w:rFonts w:eastAsiaTheme="minorEastAsia"/>
          <w:szCs w:val="20"/>
          <w:lang w:val="en-US" w:eastAsia="zh-CN"/>
        </w:rPr>
        <w:t>band</w:t>
      </w:r>
      <w:r>
        <w:rPr>
          <w:rFonts w:eastAsiaTheme="minorEastAsia"/>
          <w:szCs w:val="20"/>
          <w:lang w:val="en-US" w:eastAsia="zh-CN"/>
        </w:rPr>
        <w:t>. Hence, the column of FDD/TDD differentiation can be “TDD only”</w:t>
      </w:r>
      <w:r w:rsidR="009E2106">
        <w:rPr>
          <w:rFonts w:eastAsiaTheme="minorEastAsia"/>
          <w:szCs w:val="20"/>
          <w:lang w:val="en-US" w:eastAsia="zh-CN"/>
        </w:rPr>
        <w:t>, and no need to consider the mixture of TDD and FDD.</w:t>
      </w:r>
    </w:p>
    <w:p w14:paraId="53ED9247" w14:textId="03A40EA9" w:rsidR="009E2106" w:rsidRDefault="009E2106" w:rsidP="00002336">
      <w:pPr>
        <w:pStyle w:val="aff7"/>
        <w:numPr>
          <w:ilvl w:val="0"/>
          <w:numId w:val="24"/>
        </w:numPr>
        <w:spacing w:before="120" w:after="120"/>
        <w:ind w:leftChars="0"/>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 xml:space="preserve">egarding optional/mandatory, the basic feature for IoT-NTN (i.e., Rel-17 2-1b) is written as “optional with capability signaling” with an additional sentence “For UEs supporting NB-IoT NTN, it must indicate this FG is supported”. Similar wording can be </w:t>
      </w:r>
      <w:bookmarkStart w:id="4" w:name="_GoBack"/>
      <w:bookmarkEnd w:id="4"/>
      <w:r>
        <w:rPr>
          <w:rFonts w:eastAsiaTheme="minorEastAsia"/>
          <w:szCs w:val="20"/>
          <w:lang w:val="en-US" w:eastAsia="zh-CN"/>
        </w:rPr>
        <w:t>used as shown in Table 1.</w:t>
      </w:r>
    </w:p>
    <w:p w14:paraId="7BFF5E87" w14:textId="1CE6CF7D" w:rsidR="0012663D" w:rsidRPr="0068268B" w:rsidRDefault="0068268B" w:rsidP="0068268B">
      <w:pPr>
        <w:pStyle w:val="aff7"/>
        <w:numPr>
          <w:ilvl w:val="0"/>
          <w:numId w:val="24"/>
        </w:numPr>
        <w:spacing w:before="120" w:after="120"/>
        <w:ind w:leftChars="0"/>
        <w:rPr>
          <w:rFonts w:eastAsiaTheme="minorEastAsia"/>
          <w:szCs w:val="20"/>
          <w:lang w:val="en-US" w:eastAsia="zh-CN"/>
        </w:rPr>
      </w:pPr>
      <w:r>
        <w:rPr>
          <w:rFonts w:eastAsiaTheme="minorEastAsia"/>
          <w:szCs w:val="20"/>
          <w:lang w:val="en-US" w:eastAsia="zh-CN"/>
        </w:rPr>
        <w:t>Considering that following agreement is achieved, SIB1-NB can be added in the component 5.</w:t>
      </w:r>
      <w:r w:rsidR="00687C76">
        <w:rPr>
          <w:rFonts w:eastAsiaTheme="minorEastAsia"/>
          <w:szCs w:val="20"/>
          <w:lang w:val="en-US" w:eastAsia="zh-CN"/>
        </w:rPr>
        <w:t xml:space="preserve"> </w:t>
      </w:r>
      <w:r w:rsidR="009B59CB">
        <w:rPr>
          <w:rFonts w:eastAsiaTheme="minorEastAsia"/>
          <w:szCs w:val="20"/>
          <w:lang w:val="en-US" w:eastAsia="zh-CN"/>
        </w:rPr>
        <w:t>A</w:t>
      </w:r>
      <w:r w:rsidR="00687C76">
        <w:rPr>
          <w:rFonts w:eastAsiaTheme="minorEastAsia"/>
          <w:szCs w:val="20"/>
          <w:lang w:val="en-US" w:eastAsia="zh-CN"/>
        </w:rPr>
        <w:t xml:space="preserve">n additional component </w:t>
      </w:r>
      <w:r w:rsidR="00262420">
        <w:rPr>
          <w:rFonts w:eastAsiaTheme="minorEastAsia"/>
          <w:szCs w:val="20"/>
          <w:lang w:val="en-US" w:eastAsia="zh-CN"/>
        </w:rPr>
        <w:t>7</w:t>
      </w:r>
      <w:r w:rsidR="00687C76">
        <w:rPr>
          <w:rFonts w:eastAsiaTheme="minorEastAsia"/>
          <w:szCs w:val="20"/>
          <w:lang w:val="en-US" w:eastAsia="zh-CN"/>
        </w:rPr>
        <w:t xml:space="preserve"> can be added to specify the support of new NPRACH periodicities</w:t>
      </w:r>
      <w:r w:rsidR="009F51EF">
        <w:rPr>
          <w:rFonts w:eastAsiaTheme="minorEastAsia"/>
          <w:szCs w:val="20"/>
          <w:lang w:val="en-US" w:eastAsia="zh-CN"/>
        </w:rPr>
        <w:t xml:space="preserve"> considering that postponement related enhancement has been captured in component 6</w:t>
      </w:r>
      <w:r w:rsidR="00687C76">
        <w:rPr>
          <w:rFonts w:eastAsiaTheme="minorEastAsia"/>
          <w:szCs w:val="20"/>
          <w:lang w:val="en-US" w:eastAsia="zh-CN"/>
        </w:rPr>
        <w:t>.</w:t>
      </w:r>
      <w:r w:rsidR="009B59CB">
        <w:rPr>
          <w:rFonts w:eastAsiaTheme="minorEastAsia"/>
          <w:szCs w:val="20"/>
          <w:lang w:val="en-US" w:eastAsia="zh-CN"/>
        </w:rPr>
        <w:t xml:space="preserve"> And an additional component </w:t>
      </w:r>
      <w:r w:rsidR="00262420">
        <w:rPr>
          <w:rFonts w:eastAsiaTheme="minorEastAsia"/>
          <w:szCs w:val="20"/>
          <w:lang w:val="en-US" w:eastAsia="zh-CN"/>
        </w:rPr>
        <w:t>8</w:t>
      </w:r>
      <w:r w:rsidR="009B59CB">
        <w:rPr>
          <w:rFonts w:eastAsiaTheme="minorEastAsia"/>
          <w:szCs w:val="20"/>
          <w:lang w:val="en-US" w:eastAsia="zh-CN"/>
        </w:rPr>
        <w:t xml:space="preserve"> can be added to specify the support of adjusting pre-compensation before the beginning</w:t>
      </w:r>
      <w:r w:rsidR="00262420">
        <w:rPr>
          <w:rFonts w:eastAsiaTheme="minorEastAsia"/>
          <w:szCs w:val="20"/>
          <w:lang w:val="en-US" w:eastAsia="zh-CN"/>
        </w:rPr>
        <w:t xml:space="preserve"> of UL burst.</w:t>
      </w:r>
    </w:p>
    <w:tbl>
      <w:tblPr>
        <w:tblStyle w:val="aff0"/>
        <w:tblW w:w="0" w:type="auto"/>
        <w:tblLook w:val="04A0" w:firstRow="1" w:lastRow="0" w:firstColumn="1" w:lastColumn="0" w:noHBand="0" w:noVBand="1"/>
      </w:tblPr>
      <w:tblGrid>
        <w:gridCol w:w="9394"/>
      </w:tblGrid>
      <w:tr w:rsidR="00A26819" w14:paraId="1E510E4E" w14:textId="77777777" w:rsidTr="00A26819">
        <w:tc>
          <w:tcPr>
            <w:tcW w:w="9394" w:type="dxa"/>
          </w:tcPr>
          <w:p w14:paraId="017F6E26" w14:textId="77777777" w:rsidR="0068268B" w:rsidRPr="0068268B" w:rsidRDefault="0068268B" w:rsidP="0068268B">
            <w:pPr>
              <w:spacing w:after="0" w:line="240" w:lineRule="auto"/>
              <w:ind w:left="0"/>
              <w:jc w:val="left"/>
              <w:rPr>
                <w:rFonts w:ascii="Times" w:eastAsia="Batang" w:hAnsi="Times"/>
                <w:b/>
                <w:bCs/>
                <w:szCs w:val="24"/>
                <w:lang w:val="en-GB"/>
              </w:rPr>
            </w:pPr>
            <w:r w:rsidRPr="0068268B">
              <w:rPr>
                <w:rFonts w:ascii="Times" w:eastAsia="Batang" w:hAnsi="Times"/>
                <w:b/>
                <w:bCs/>
                <w:szCs w:val="24"/>
                <w:highlight w:val="green"/>
                <w:lang w:val="en-GB"/>
              </w:rPr>
              <w:t>Agreement</w:t>
            </w:r>
          </w:p>
          <w:p w14:paraId="10B169AB" w14:textId="77777777" w:rsidR="0068268B" w:rsidRPr="0068268B" w:rsidRDefault="0068268B" w:rsidP="0068268B">
            <w:pPr>
              <w:spacing w:after="0" w:line="240" w:lineRule="auto"/>
              <w:ind w:left="0"/>
              <w:jc w:val="left"/>
              <w:rPr>
                <w:rFonts w:ascii="Times" w:eastAsia="Batang" w:hAnsi="Times"/>
                <w:bCs/>
                <w:szCs w:val="24"/>
                <w:lang w:val="en-GB"/>
              </w:rPr>
            </w:pPr>
            <w:r w:rsidRPr="0068268B">
              <w:rPr>
                <w:rFonts w:ascii="Times" w:eastAsia="Batang" w:hAnsi="Times"/>
                <w:bCs/>
                <w:szCs w:val="24"/>
                <w:lang w:val="en-GB"/>
              </w:rPr>
              <w:t>SIB1-NB is dropped in non-D NB-IoT subframes</w:t>
            </w:r>
          </w:p>
          <w:p w14:paraId="012F9201" w14:textId="77777777" w:rsidR="0068268B" w:rsidRPr="0068268B" w:rsidRDefault="0068268B" w:rsidP="0068268B">
            <w:pPr>
              <w:numPr>
                <w:ilvl w:val="0"/>
                <w:numId w:val="25"/>
              </w:numPr>
              <w:overflowPunct w:val="0"/>
              <w:autoSpaceDE w:val="0"/>
              <w:autoSpaceDN w:val="0"/>
              <w:adjustRightInd w:val="0"/>
              <w:spacing w:after="0" w:line="240" w:lineRule="auto"/>
              <w:contextualSpacing/>
              <w:jc w:val="left"/>
              <w:textAlignment w:val="baseline"/>
              <w:rPr>
                <w:rFonts w:ascii="Times" w:eastAsia="宋体" w:hAnsi="Times" w:cs="Times"/>
                <w:bCs/>
                <w:color w:val="000000"/>
                <w:szCs w:val="24"/>
                <w:lang w:val="en-GB"/>
              </w:rPr>
            </w:pPr>
            <w:r w:rsidRPr="0068268B">
              <w:rPr>
                <w:rFonts w:ascii="Times" w:eastAsia="宋体" w:hAnsi="Times" w:cs="Times"/>
                <w:bCs/>
                <w:color w:val="000000"/>
                <w:szCs w:val="24"/>
                <w:lang w:val="en-GB"/>
              </w:rPr>
              <w:t>NOTE 1: “non-D NB-IoT subframes” are subframes not contained within the set of D=8 usable consecutive downlink subframes in the TDD structure.</w:t>
            </w:r>
          </w:p>
          <w:p w14:paraId="1900D6EB" w14:textId="77777777" w:rsidR="0068268B" w:rsidRPr="0068268B" w:rsidRDefault="0068268B" w:rsidP="0068268B">
            <w:pPr>
              <w:numPr>
                <w:ilvl w:val="0"/>
                <w:numId w:val="25"/>
              </w:numPr>
              <w:overflowPunct w:val="0"/>
              <w:autoSpaceDE w:val="0"/>
              <w:autoSpaceDN w:val="0"/>
              <w:adjustRightInd w:val="0"/>
              <w:spacing w:after="0" w:line="240" w:lineRule="auto"/>
              <w:contextualSpacing/>
              <w:jc w:val="left"/>
              <w:textAlignment w:val="baseline"/>
              <w:rPr>
                <w:rFonts w:ascii="Times" w:eastAsia="宋体" w:hAnsi="Times" w:cs="Times"/>
                <w:bCs/>
                <w:color w:val="000000"/>
                <w:szCs w:val="24"/>
                <w:lang w:val="en-GB"/>
              </w:rPr>
            </w:pPr>
            <w:r w:rsidRPr="0068268B">
              <w:rPr>
                <w:rFonts w:ascii="Times" w:eastAsia="宋体" w:hAnsi="Times" w:cs="Times"/>
                <w:bCs/>
                <w:color w:val="000000"/>
                <w:szCs w:val="24"/>
                <w:lang w:val="en-GB"/>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0B1C0C36" w14:textId="77777777" w:rsidR="00753A4D" w:rsidRPr="00753A4D" w:rsidRDefault="00753A4D" w:rsidP="00753A4D">
            <w:pPr>
              <w:spacing w:after="0" w:line="240" w:lineRule="auto"/>
              <w:ind w:left="0"/>
              <w:jc w:val="left"/>
              <w:rPr>
                <w:rFonts w:ascii="Times" w:eastAsiaTheme="minorEastAsia" w:hAnsi="Times"/>
                <w:bCs/>
                <w:szCs w:val="20"/>
                <w:lang w:eastAsia="zh-CN"/>
              </w:rPr>
            </w:pPr>
          </w:p>
          <w:p w14:paraId="75B2063C" w14:textId="77777777" w:rsidR="00687C76" w:rsidRPr="00687C76" w:rsidRDefault="00687C76" w:rsidP="00687C76">
            <w:pPr>
              <w:spacing w:after="0" w:line="240" w:lineRule="auto"/>
              <w:ind w:left="0"/>
              <w:jc w:val="left"/>
              <w:rPr>
                <w:rFonts w:ascii="Times" w:eastAsia="Batang" w:hAnsi="Times"/>
                <w:b/>
                <w:bCs/>
                <w:szCs w:val="24"/>
                <w:lang w:val="en-GB"/>
              </w:rPr>
            </w:pPr>
            <w:r w:rsidRPr="00687C76">
              <w:rPr>
                <w:rFonts w:ascii="Times" w:eastAsia="Batang" w:hAnsi="Times"/>
                <w:b/>
                <w:bCs/>
                <w:szCs w:val="24"/>
                <w:highlight w:val="green"/>
                <w:lang w:val="en-GB"/>
              </w:rPr>
              <w:t>Agreement</w:t>
            </w:r>
          </w:p>
          <w:p w14:paraId="49A61F43" w14:textId="77777777" w:rsidR="00687C76" w:rsidRPr="00687C76" w:rsidRDefault="00687C76" w:rsidP="00687C76">
            <w:pPr>
              <w:spacing w:after="0" w:line="240" w:lineRule="auto"/>
              <w:ind w:left="0"/>
              <w:jc w:val="left"/>
              <w:rPr>
                <w:rFonts w:ascii="Times" w:eastAsia="Batang" w:hAnsi="Times"/>
                <w:bCs/>
                <w:szCs w:val="24"/>
                <w:lang w:val="en-GB"/>
              </w:rPr>
            </w:pPr>
            <w:r w:rsidRPr="00687C76">
              <w:rPr>
                <w:rFonts w:ascii="Times" w:eastAsia="Batang" w:hAnsi="Times"/>
                <w:bCs/>
                <w:szCs w:val="24"/>
                <w:lang w:val="en-GB"/>
              </w:rPr>
              <w:t>NPRACH transmissions are postponed in non-U NB-IoT subframes until the next U NB-IoT subframe(s). The unit of postponement is one PRU.</w:t>
            </w:r>
          </w:p>
          <w:p w14:paraId="050A23BC" w14:textId="77777777" w:rsidR="00687C76" w:rsidRPr="00687C76" w:rsidRDefault="00687C76" w:rsidP="00687C76">
            <w:pPr>
              <w:numPr>
                <w:ilvl w:val="0"/>
                <w:numId w:val="26"/>
              </w:numPr>
              <w:overflowPunct w:val="0"/>
              <w:autoSpaceDE w:val="0"/>
              <w:autoSpaceDN w:val="0"/>
              <w:adjustRightInd w:val="0"/>
              <w:spacing w:after="0" w:line="240" w:lineRule="auto"/>
              <w:jc w:val="left"/>
              <w:textAlignment w:val="baseline"/>
              <w:rPr>
                <w:rFonts w:ascii="Times" w:eastAsia="Batang" w:hAnsi="Times"/>
                <w:bCs/>
                <w:szCs w:val="24"/>
                <w:lang w:val="en-GB" w:eastAsia="zh-CN"/>
              </w:rPr>
            </w:pPr>
            <w:r w:rsidRPr="00687C76">
              <w:rPr>
                <w:rFonts w:ascii="Times" w:eastAsia="Batang" w:hAnsi="Times"/>
                <w:bCs/>
                <w:szCs w:val="24"/>
                <w:lang w:val="en-GB" w:eastAsia="zh-CN"/>
              </w:rPr>
              <w:t>NOTE: “U NB-IoT subframes” are subframes contained within the set of U=8 usable consecutive uplink subframes in the TDD structure.</w:t>
            </w:r>
          </w:p>
          <w:p w14:paraId="7109A754" w14:textId="77777777" w:rsidR="00687C76" w:rsidRPr="00687C76" w:rsidRDefault="00687C76" w:rsidP="00687C76">
            <w:pPr>
              <w:overflowPunct w:val="0"/>
              <w:autoSpaceDE w:val="0"/>
              <w:autoSpaceDN w:val="0"/>
              <w:adjustRightInd w:val="0"/>
              <w:spacing w:after="0" w:line="240" w:lineRule="auto"/>
              <w:ind w:left="0"/>
              <w:jc w:val="left"/>
              <w:textAlignment w:val="baseline"/>
              <w:rPr>
                <w:rFonts w:ascii="Times" w:eastAsia="Batang" w:hAnsi="Times"/>
                <w:bCs/>
                <w:szCs w:val="24"/>
                <w:lang w:val="en-GB" w:eastAsia="zh-CN"/>
              </w:rPr>
            </w:pPr>
            <w:r w:rsidRPr="00687C76">
              <w:rPr>
                <w:rFonts w:ascii="Times" w:eastAsia="Batang" w:hAnsi="Times"/>
                <w:bCs/>
                <w:szCs w:val="24"/>
                <w:lang w:val="en-GB" w:eastAsia="zh-CN"/>
              </w:rPr>
              <w:t>NPRACH periodicities of 40ms and 80ms are not supported in NB-IoT NTN TDD mode</w:t>
            </w:r>
          </w:p>
          <w:p w14:paraId="1A653F06" w14:textId="77777777" w:rsidR="00687C76" w:rsidRPr="00687C76" w:rsidRDefault="00687C76" w:rsidP="00687C76">
            <w:pPr>
              <w:numPr>
                <w:ilvl w:val="0"/>
                <w:numId w:val="26"/>
              </w:numPr>
              <w:overflowPunct w:val="0"/>
              <w:autoSpaceDE w:val="0"/>
              <w:autoSpaceDN w:val="0"/>
              <w:adjustRightInd w:val="0"/>
              <w:spacing w:after="0" w:line="240" w:lineRule="auto"/>
              <w:jc w:val="left"/>
              <w:textAlignment w:val="baseline"/>
              <w:rPr>
                <w:rFonts w:ascii="Times" w:eastAsia="Batang" w:hAnsi="Times"/>
                <w:bCs/>
                <w:szCs w:val="24"/>
                <w:lang w:val="en-GB" w:eastAsia="zh-CN"/>
              </w:rPr>
            </w:pPr>
            <w:r w:rsidRPr="00687C76">
              <w:rPr>
                <w:rFonts w:ascii="Times" w:eastAsia="等线" w:hAnsi="Times"/>
                <w:bCs/>
                <w:szCs w:val="24"/>
                <w:lang w:val="en-GB" w:eastAsia="zh-CN"/>
              </w:rPr>
              <w:t>Instead, periodicities of 90ms and 180ms are supported</w:t>
            </w:r>
          </w:p>
          <w:p w14:paraId="7F434C6E" w14:textId="77777777" w:rsidR="006A5985" w:rsidRDefault="006A5985" w:rsidP="006A5985">
            <w:pPr>
              <w:overflowPunct w:val="0"/>
              <w:autoSpaceDE w:val="0"/>
              <w:autoSpaceDN w:val="0"/>
              <w:adjustRightInd w:val="0"/>
              <w:spacing w:after="0" w:line="240" w:lineRule="auto"/>
              <w:ind w:left="0"/>
              <w:contextualSpacing/>
              <w:jc w:val="left"/>
              <w:textAlignment w:val="baseline"/>
              <w:rPr>
                <w:rFonts w:ascii="Times" w:eastAsiaTheme="minorEastAsia" w:hAnsi="Times"/>
                <w:bCs/>
                <w:szCs w:val="20"/>
                <w:lang w:val="en-GB" w:eastAsia="zh-CN"/>
              </w:rPr>
            </w:pPr>
          </w:p>
          <w:p w14:paraId="6370EE6B" w14:textId="77777777" w:rsidR="009B59CB" w:rsidRPr="009B59CB" w:rsidRDefault="009B59CB" w:rsidP="009B59CB">
            <w:pPr>
              <w:spacing w:after="0" w:line="240" w:lineRule="auto"/>
              <w:ind w:left="0"/>
              <w:jc w:val="left"/>
              <w:rPr>
                <w:rFonts w:ascii="Times" w:eastAsia="Batang" w:hAnsi="Times"/>
                <w:b/>
                <w:bCs/>
                <w:szCs w:val="24"/>
                <w:highlight w:val="darkYellow"/>
                <w:lang w:val="en-GB"/>
              </w:rPr>
            </w:pPr>
            <w:r w:rsidRPr="009B59CB">
              <w:rPr>
                <w:rFonts w:ascii="Times" w:eastAsia="Batang" w:hAnsi="Times"/>
                <w:b/>
                <w:bCs/>
                <w:szCs w:val="24"/>
                <w:highlight w:val="darkYellow"/>
                <w:lang w:val="en-GB"/>
              </w:rPr>
              <w:t>Working assumption</w:t>
            </w:r>
          </w:p>
          <w:p w14:paraId="7E777747" w14:textId="77777777" w:rsidR="009B59CB" w:rsidRPr="009B59CB" w:rsidRDefault="009B59CB" w:rsidP="009B59CB">
            <w:pPr>
              <w:spacing w:after="0" w:line="240" w:lineRule="auto"/>
              <w:ind w:left="0"/>
              <w:jc w:val="left"/>
              <w:rPr>
                <w:rFonts w:ascii="Times" w:eastAsia="Batang" w:hAnsi="Times"/>
                <w:bCs/>
                <w:szCs w:val="24"/>
                <w:lang w:val="en-GB"/>
              </w:rPr>
            </w:pPr>
            <w:r w:rsidRPr="009B59CB">
              <w:rPr>
                <w:rFonts w:ascii="Times" w:eastAsia="Batang" w:hAnsi="Times"/>
                <w:bCs/>
                <w:szCs w:val="24"/>
                <w:lang w:val="en-GB"/>
              </w:rPr>
              <w:t xml:space="preserve">For </w:t>
            </w:r>
            <w:proofErr w:type="spellStart"/>
            <w:r w:rsidRPr="009B59CB">
              <w:rPr>
                <w:rFonts w:ascii="Times" w:eastAsia="Batang" w:hAnsi="Times"/>
                <w:bCs/>
                <w:szCs w:val="24"/>
                <w:lang w:val="en-GB"/>
              </w:rPr>
              <w:t>precompensation</w:t>
            </w:r>
            <w:proofErr w:type="spellEnd"/>
            <w:r w:rsidRPr="009B59CB">
              <w:rPr>
                <w:rFonts w:ascii="Times" w:eastAsia="Batang" w:hAnsi="Times"/>
                <w:bCs/>
                <w:szCs w:val="24"/>
                <w:lang w:val="en-GB"/>
              </w:rPr>
              <w:t>, from RAN1 perspective:</w:t>
            </w:r>
          </w:p>
          <w:p w14:paraId="4827DB06" w14:textId="77777777" w:rsidR="009B59CB" w:rsidRPr="009B59CB" w:rsidRDefault="009B59CB" w:rsidP="009B59CB">
            <w:pPr>
              <w:numPr>
                <w:ilvl w:val="0"/>
                <w:numId w:val="27"/>
              </w:numPr>
              <w:overflowPunct w:val="0"/>
              <w:autoSpaceDE w:val="0"/>
              <w:autoSpaceDN w:val="0"/>
              <w:adjustRightInd w:val="0"/>
              <w:spacing w:after="180" w:line="240" w:lineRule="auto"/>
              <w:contextualSpacing/>
              <w:jc w:val="left"/>
              <w:textAlignment w:val="baseline"/>
              <w:rPr>
                <w:rFonts w:ascii="Times" w:eastAsia="宋体" w:hAnsi="Times" w:cs="Times"/>
                <w:bCs/>
                <w:szCs w:val="24"/>
                <w:lang w:val="en-GB"/>
              </w:rPr>
            </w:pPr>
            <w:r w:rsidRPr="009B59CB">
              <w:rPr>
                <w:rFonts w:ascii="Times" w:eastAsia="宋体" w:hAnsi="Times" w:cs="Times"/>
                <w:bCs/>
                <w:szCs w:val="24"/>
                <w:lang w:val="en-GB"/>
              </w:rPr>
              <w:lastRenderedPageBreak/>
              <w:t>The UE adjusts its time/frequency pre-compensation before the beginning of each set of consecutive 8 uplink subframes. No pre-compensation gap is needed before the beginning of each set of consecutive 8 uplink subframes.</w:t>
            </w:r>
          </w:p>
          <w:p w14:paraId="3C0A5550" w14:textId="77777777" w:rsidR="009B59CB" w:rsidRPr="009B59CB" w:rsidRDefault="009B59CB" w:rsidP="009B59CB">
            <w:pPr>
              <w:numPr>
                <w:ilvl w:val="1"/>
                <w:numId w:val="27"/>
              </w:numPr>
              <w:overflowPunct w:val="0"/>
              <w:autoSpaceDE w:val="0"/>
              <w:autoSpaceDN w:val="0"/>
              <w:adjustRightInd w:val="0"/>
              <w:spacing w:after="180" w:line="240" w:lineRule="auto"/>
              <w:contextualSpacing/>
              <w:jc w:val="left"/>
              <w:textAlignment w:val="baseline"/>
              <w:rPr>
                <w:rFonts w:ascii="Times" w:eastAsia="宋体" w:hAnsi="Times" w:cs="Times"/>
                <w:bCs/>
                <w:szCs w:val="24"/>
                <w:lang w:val="en-GB"/>
              </w:rPr>
            </w:pPr>
            <w:r w:rsidRPr="009B59CB">
              <w:rPr>
                <w:rFonts w:ascii="Times" w:eastAsia="宋体" w:hAnsi="Times" w:cs="Times"/>
                <w:bCs/>
                <w:szCs w:val="24"/>
                <w:lang w:val="en-GB"/>
              </w:rPr>
              <w:t>FFS: Whether it is supported to perform segmented pre-compensation within the set of 8 consecutive uplink subframes, and whether in this case a pre-compensation gap is needed.</w:t>
            </w:r>
          </w:p>
          <w:p w14:paraId="1FE7E536" w14:textId="6FE34105" w:rsidR="009B59CB" w:rsidRPr="009B59CB" w:rsidRDefault="009B59CB" w:rsidP="009B59CB">
            <w:pPr>
              <w:numPr>
                <w:ilvl w:val="0"/>
                <w:numId w:val="27"/>
              </w:numPr>
              <w:overflowPunct w:val="0"/>
              <w:autoSpaceDE w:val="0"/>
              <w:autoSpaceDN w:val="0"/>
              <w:adjustRightInd w:val="0"/>
              <w:spacing w:after="180" w:line="240" w:lineRule="auto"/>
              <w:contextualSpacing/>
              <w:jc w:val="left"/>
              <w:textAlignment w:val="baseline"/>
              <w:rPr>
                <w:rFonts w:ascii="Times" w:eastAsia="宋体" w:hAnsi="Times" w:cs="Times"/>
                <w:bCs/>
                <w:szCs w:val="24"/>
                <w:lang w:val="en-GB"/>
              </w:rPr>
            </w:pPr>
            <w:r w:rsidRPr="009B59CB">
              <w:rPr>
                <w:rFonts w:ascii="Times" w:eastAsia="宋体" w:hAnsi="Times" w:cs="Times"/>
                <w:bCs/>
                <w:szCs w:val="24"/>
                <w:lang w:val="en-GB"/>
              </w:rPr>
              <w:t>FFS:</w:t>
            </w:r>
            <w:r w:rsidRPr="009B59CB">
              <w:rPr>
                <w:rFonts w:ascii="Times" w:eastAsia="宋体" w:hAnsi="Times" w:cs="Times"/>
                <w:bCs/>
                <w:szCs w:val="24"/>
              </w:rPr>
              <w:t xml:space="preserve"> whether spec impact is in RAN1, RAN4 or both</w:t>
            </w:r>
          </w:p>
        </w:tc>
      </w:tr>
    </w:tbl>
    <w:p w14:paraId="142F579C" w14:textId="1A5E0FAD" w:rsidR="00D83AA3" w:rsidRPr="00D83AA3" w:rsidRDefault="00D83AA3" w:rsidP="00D52A39">
      <w:pPr>
        <w:spacing w:before="120" w:after="120" w:line="240" w:lineRule="auto"/>
        <w:ind w:left="0"/>
        <w:rPr>
          <w:rFonts w:eastAsiaTheme="minorEastAsia"/>
          <w:szCs w:val="20"/>
          <w:lang w:eastAsia="zh-CN"/>
        </w:rPr>
      </w:pPr>
    </w:p>
    <w:p w14:paraId="353E9D51" w14:textId="2572BA0F" w:rsidR="0033686A" w:rsidRPr="006A5985" w:rsidRDefault="00D52A39" w:rsidP="00D52A39">
      <w:pPr>
        <w:numPr>
          <w:ilvl w:val="255"/>
          <w:numId w:val="0"/>
        </w:numPr>
        <w:spacing w:beforeLines="50" w:before="120" w:afterLines="50" w:after="120" w:line="240" w:lineRule="auto"/>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sidRPr="00BD2B93">
        <w:rPr>
          <w:i/>
          <w:iCs/>
          <w:lang w:eastAsia="zh-CN"/>
        </w:rPr>
        <w:t>Table 1</w:t>
      </w:r>
      <w:r>
        <w:rPr>
          <w:i/>
          <w:iCs/>
          <w:lang w:eastAsia="zh-CN"/>
        </w:rPr>
        <w:fldChar w:fldCharType="end"/>
      </w:r>
      <w:r>
        <w:rPr>
          <w:rFonts w:hint="eastAsia"/>
          <w:i/>
          <w:iCs/>
          <w:lang w:eastAsia="zh-CN"/>
        </w:rPr>
        <w:t xml:space="preserve"> for </w:t>
      </w:r>
      <w:r>
        <w:rPr>
          <w:i/>
          <w:iCs/>
          <w:lang w:eastAsia="zh-CN"/>
        </w:rPr>
        <w:t>Rel-1</w:t>
      </w:r>
      <w:r w:rsidR="00664F4D">
        <w:rPr>
          <w:i/>
          <w:iCs/>
          <w:lang w:eastAsia="zh-CN"/>
        </w:rPr>
        <w:t>9</w:t>
      </w:r>
      <w:r>
        <w:rPr>
          <w:i/>
          <w:iCs/>
          <w:lang w:eastAsia="zh-CN"/>
        </w:rPr>
        <w:t xml:space="preserve"> </w:t>
      </w:r>
      <w:r w:rsidR="006A5985" w:rsidRPr="006A5985">
        <w:rPr>
          <w:rFonts w:hint="eastAsia"/>
          <w:i/>
          <w:iCs/>
          <w:lang w:eastAsia="zh-CN"/>
        </w:rPr>
        <w:t>IoT</w:t>
      </w:r>
      <w:r w:rsidR="006A5985">
        <w:rPr>
          <w:i/>
          <w:iCs/>
          <w:lang w:eastAsia="zh-CN"/>
        </w:rPr>
        <w:t>-NTN TDD mode</w:t>
      </w:r>
      <w:r>
        <w:rPr>
          <w:rFonts w:hint="eastAsia"/>
          <w:i/>
          <w:iCs/>
          <w:lang w:eastAsia="zh-CN"/>
        </w:rPr>
        <w:t xml:space="preserve">. </w:t>
      </w:r>
    </w:p>
    <w:p w14:paraId="756D0A48" w14:textId="77777777" w:rsidR="0033686A" w:rsidRDefault="0033686A">
      <w:pPr>
        <w:spacing w:after="120"/>
        <w:ind w:left="0"/>
        <w:rPr>
          <w:rFonts w:eastAsiaTheme="minorEastAsia"/>
          <w:szCs w:val="20"/>
          <w:lang w:eastAsia="zh-CN"/>
        </w:rPr>
        <w:sectPr w:rsidR="0033686A">
          <w:footerReference w:type="default" r:id="rId9"/>
          <w:pgSz w:w="12240" w:h="15840"/>
          <w:pgMar w:top="1418" w:right="1418" w:bottom="1418" w:left="1418" w:header="709" w:footer="709" w:gutter="0"/>
          <w:cols w:space="720"/>
          <w:docGrid w:linePitch="360"/>
        </w:sectPr>
      </w:pPr>
    </w:p>
    <w:p w14:paraId="7330567A" w14:textId="45B4DBE3" w:rsidR="0033686A" w:rsidRDefault="00792793">
      <w:pPr>
        <w:pStyle w:val="a8"/>
      </w:pPr>
      <w:bookmarkStart w:id="5" w:name="_Ref134801033"/>
      <w:r>
        <w:lastRenderedPageBreak/>
        <w:t xml:space="preserve">Table </w:t>
      </w:r>
      <w:r>
        <w:fldChar w:fldCharType="begin"/>
      </w:r>
      <w:r>
        <w:instrText xml:space="preserve"> SEQ Table \* ARABIC </w:instrText>
      </w:r>
      <w:r>
        <w:fldChar w:fldCharType="separate"/>
      </w:r>
      <w:r>
        <w:t>1</w:t>
      </w:r>
      <w:r>
        <w:fldChar w:fldCharType="end"/>
      </w:r>
      <w:bookmarkEnd w:id="5"/>
      <w:r>
        <w:t xml:space="preserve"> UE features for Rel-1</w:t>
      </w:r>
      <w:r w:rsidR="00664F4D">
        <w:t>9</w:t>
      </w:r>
      <w:r>
        <w:t xml:space="preserve"> </w:t>
      </w:r>
      <w:r w:rsidR="006A5985">
        <w:t>IoT</w:t>
      </w:r>
      <w:r>
        <w:t>-NTN</w:t>
      </w:r>
      <w:r w:rsidR="006A5985">
        <w:t xml:space="preserve"> TDD mode</w:t>
      </w:r>
    </w:p>
    <w:p w14:paraId="46645C72" w14:textId="77777777" w:rsidR="00F01E18" w:rsidRPr="00F01E18" w:rsidRDefault="00F01E18" w:rsidP="00F01E18">
      <w:pPr>
        <w:rPr>
          <w:rFonts w:eastAsiaTheme="minorEastAsia"/>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012"/>
        <w:gridCol w:w="3990"/>
        <w:gridCol w:w="1360"/>
        <w:gridCol w:w="1377"/>
        <w:gridCol w:w="1966"/>
        <w:gridCol w:w="1670"/>
        <w:gridCol w:w="2028"/>
        <w:gridCol w:w="1538"/>
        <w:gridCol w:w="1610"/>
        <w:gridCol w:w="1345"/>
        <w:gridCol w:w="2384"/>
      </w:tblGrid>
      <w:tr w:rsidR="0068268B" w:rsidRPr="006C2B63" w14:paraId="0CE051AE" w14:textId="77777777" w:rsidTr="006C2B63">
        <w:trPr>
          <w:trHeight w:val="20"/>
        </w:trPr>
        <w:tc>
          <w:tcPr>
            <w:tcW w:w="0" w:type="auto"/>
            <w:tcBorders>
              <w:top w:val="single" w:sz="4" w:space="0" w:color="auto"/>
              <w:left w:val="single" w:sz="4" w:space="0" w:color="auto"/>
              <w:bottom w:val="single" w:sz="4" w:space="0" w:color="auto"/>
              <w:right w:val="single" w:sz="4" w:space="0" w:color="auto"/>
            </w:tcBorders>
            <w:hideMark/>
          </w:tcPr>
          <w:p w14:paraId="69C92F9B"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bookmarkStart w:id="6" w:name="_Hlk194579587"/>
            <w:r w:rsidRPr="006C2B63">
              <w:rPr>
                <w:rFonts w:ascii="Arial" w:eastAsia="Times New Roman" w:hAnsi="Arial" w:cs="Arial"/>
                <w:b/>
                <w:sz w:val="18"/>
                <w:szCs w:val="18"/>
                <w:lang w:eastAsia="zh-CN"/>
              </w:rPr>
              <w:t>Index</w:t>
            </w:r>
            <w:bookmarkEnd w:id="6"/>
          </w:p>
        </w:tc>
        <w:tc>
          <w:tcPr>
            <w:tcW w:w="0" w:type="auto"/>
            <w:tcBorders>
              <w:top w:val="single" w:sz="4" w:space="0" w:color="auto"/>
              <w:left w:val="nil"/>
              <w:bottom w:val="single" w:sz="4" w:space="0" w:color="auto"/>
              <w:right w:val="single" w:sz="4" w:space="0" w:color="auto"/>
            </w:tcBorders>
            <w:hideMark/>
          </w:tcPr>
          <w:p w14:paraId="663443EB"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Feature group</w:t>
            </w:r>
          </w:p>
        </w:tc>
        <w:tc>
          <w:tcPr>
            <w:tcW w:w="0" w:type="auto"/>
            <w:tcBorders>
              <w:top w:val="single" w:sz="4" w:space="0" w:color="auto"/>
              <w:left w:val="nil"/>
              <w:bottom w:val="single" w:sz="4" w:space="0" w:color="auto"/>
              <w:right w:val="single" w:sz="4" w:space="0" w:color="auto"/>
            </w:tcBorders>
            <w:hideMark/>
          </w:tcPr>
          <w:p w14:paraId="7E1E7CD0"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Components</w:t>
            </w:r>
          </w:p>
        </w:tc>
        <w:tc>
          <w:tcPr>
            <w:tcW w:w="0" w:type="auto"/>
            <w:tcBorders>
              <w:top w:val="single" w:sz="4" w:space="0" w:color="auto"/>
              <w:left w:val="nil"/>
              <w:bottom w:val="single" w:sz="4" w:space="0" w:color="auto"/>
              <w:right w:val="single" w:sz="4" w:space="0" w:color="auto"/>
            </w:tcBorders>
            <w:hideMark/>
          </w:tcPr>
          <w:p w14:paraId="72A72DB9"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Prerequisite feature groups</w:t>
            </w:r>
          </w:p>
        </w:tc>
        <w:tc>
          <w:tcPr>
            <w:tcW w:w="0" w:type="auto"/>
            <w:tcBorders>
              <w:top w:val="single" w:sz="4" w:space="0" w:color="auto"/>
              <w:left w:val="nil"/>
              <w:bottom w:val="single" w:sz="4" w:space="0" w:color="auto"/>
              <w:right w:val="single" w:sz="4" w:space="0" w:color="auto"/>
            </w:tcBorders>
            <w:hideMark/>
          </w:tcPr>
          <w:p w14:paraId="1291FD48"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Need for the eNB to know if the feature is supported</w:t>
            </w:r>
          </w:p>
        </w:tc>
        <w:tc>
          <w:tcPr>
            <w:tcW w:w="0" w:type="auto"/>
            <w:tcBorders>
              <w:top w:val="single" w:sz="4" w:space="0" w:color="auto"/>
              <w:left w:val="nil"/>
              <w:bottom w:val="single" w:sz="4" w:space="0" w:color="auto"/>
              <w:right w:val="single" w:sz="4" w:space="0" w:color="auto"/>
            </w:tcBorders>
            <w:hideMark/>
          </w:tcPr>
          <w:p w14:paraId="05AE7C5D"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 xml:space="preserve">Need for the UE to know if the feature is supported (only for V2X WI, where the PC5-RRC capability </w:t>
            </w:r>
            <w:proofErr w:type="spellStart"/>
            <w:r w:rsidRPr="006C2B63">
              <w:rPr>
                <w:rFonts w:ascii="Arial" w:eastAsia="Times New Roman" w:hAnsi="Arial" w:cs="Arial"/>
                <w:b/>
                <w:sz w:val="18"/>
                <w:szCs w:val="18"/>
                <w:lang w:eastAsia="zh-CN"/>
              </w:rPr>
              <w:t>signalling</w:t>
            </w:r>
            <w:proofErr w:type="spellEnd"/>
            <w:r w:rsidRPr="006C2B63">
              <w:rPr>
                <w:rFonts w:ascii="Arial" w:eastAsia="Times New Roman" w:hAnsi="Arial" w:cs="Arial"/>
                <w:b/>
                <w:sz w:val="18"/>
                <w:szCs w:val="18"/>
                <w:lang w:eastAsia="zh-CN"/>
              </w:rPr>
              <w:t xml:space="preserve"> is delivered between the UEs)</w:t>
            </w:r>
          </w:p>
        </w:tc>
        <w:tc>
          <w:tcPr>
            <w:tcW w:w="0" w:type="auto"/>
            <w:tcBorders>
              <w:top w:val="single" w:sz="4" w:space="0" w:color="auto"/>
              <w:left w:val="nil"/>
              <w:bottom w:val="single" w:sz="4" w:space="0" w:color="auto"/>
              <w:right w:val="single" w:sz="4" w:space="0" w:color="auto"/>
            </w:tcBorders>
            <w:hideMark/>
          </w:tcPr>
          <w:p w14:paraId="11E5C106" w14:textId="77777777" w:rsidR="006C2B63" w:rsidRPr="006C2B63" w:rsidRDefault="006C2B63" w:rsidP="006C2B63">
            <w:pPr>
              <w:keepNext/>
              <w:keepLines/>
              <w:widowControl w:val="0"/>
              <w:spacing w:after="0" w:line="254" w:lineRule="auto"/>
              <w:ind w:left="0"/>
              <w:jc w:val="left"/>
              <w:rPr>
                <w:rFonts w:ascii="Arial" w:eastAsia="宋体" w:hAnsi="Arial" w:cs="Arial"/>
                <w:b/>
                <w:color w:val="000000"/>
                <w:sz w:val="18"/>
                <w:szCs w:val="18"/>
                <w:lang w:eastAsia="zh-CN"/>
              </w:rPr>
            </w:pPr>
            <w:r w:rsidRPr="006C2B63">
              <w:rPr>
                <w:rFonts w:ascii="Arial" w:eastAsia="宋体" w:hAnsi="Arial" w:cs="Arial"/>
                <w:b/>
                <w:sz w:val="18"/>
                <w:szCs w:val="18"/>
                <w:lang w:eastAsia="zh-CN"/>
              </w:rPr>
              <w:t>Consequence if the feature is not supported by the UE</w:t>
            </w:r>
          </w:p>
        </w:tc>
        <w:tc>
          <w:tcPr>
            <w:tcW w:w="0" w:type="auto"/>
            <w:tcBorders>
              <w:top w:val="single" w:sz="4" w:space="0" w:color="auto"/>
              <w:left w:val="nil"/>
              <w:bottom w:val="single" w:sz="4" w:space="0" w:color="auto"/>
              <w:right w:val="single" w:sz="4" w:space="0" w:color="auto"/>
            </w:tcBorders>
            <w:hideMark/>
          </w:tcPr>
          <w:p w14:paraId="362AB05D" w14:textId="77777777" w:rsidR="006C2B63" w:rsidRPr="006C2B63" w:rsidRDefault="006C2B63" w:rsidP="006C2B63">
            <w:pPr>
              <w:keepNext/>
              <w:keepLines/>
              <w:widowControl w:val="0"/>
              <w:spacing w:after="0" w:line="254" w:lineRule="auto"/>
              <w:ind w:left="0"/>
              <w:jc w:val="left"/>
              <w:rPr>
                <w:rFonts w:ascii="Arial" w:eastAsia="宋体" w:hAnsi="Arial" w:cs="Arial"/>
                <w:b/>
                <w:sz w:val="18"/>
                <w:szCs w:val="18"/>
                <w:lang w:eastAsia="zh-CN"/>
              </w:rPr>
            </w:pPr>
            <w:r w:rsidRPr="006C2B63">
              <w:rPr>
                <w:rFonts w:ascii="Arial" w:eastAsia="宋体" w:hAnsi="Arial" w:cs="Arial"/>
                <w:b/>
                <w:sz w:val="18"/>
                <w:szCs w:val="18"/>
                <w:lang w:eastAsia="zh-CN"/>
              </w:rPr>
              <w:t>Type</w:t>
            </w:r>
          </w:p>
          <w:p w14:paraId="1EBCA792" w14:textId="77777777" w:rsidR="006C2B63" w:rsidRPr="006C2B63" w:rsidRDefault="006C2B63" w:rsidP="006C2B63">
            <w:pPr>
              <w:keepNext/>
              <w:keepLines/>
              <w:widowControl w:val="0"/>
              <w:spacing w:after="0" w:line="254" w:lineRule="auto"/>
              <w:ind w:left="0"/>
              <w:jc w:val="left"/>
              <w:rPr>
                <w:rFonts w:ascii="Arial" w:eastAsia="宋体" w:hAnsi="Arial" w:cs="Arial"/>
                <w:b/>
                <w:color w:val="000000"/>
                <w:sz w:val="18"/>
                <w:szCs w:val="18"/>
                <w:lang w:eastAsia="zh-CN"/>
              </w:rPr>
            </w:pPr>
            <w:r w:rsidRPr="006C2B63">
              <w:rPr>
                <w:rFonts w:ascii="Arial" w:eastAsia="宋体" w:hAnsi="Arial" w:cs="Arial"/>
                <w:b/>
                <w:sz w:val="18"/>
                <w:szCs w:val="18"/>
                <w:lang w:eastAsia="zh-CN"/>
              </w:rPr>
              <w:t>(the ‘type’ definition from UE features should be based on the granularity of 1) Per UE or 2) Per Band or 3) Per BC or 4) Per FS or 5) Per FSPC)</w:t>
            </w:r>
          </w:p>
        </w:tc>
        <w:tc>
          <w:tcPr>
            <w:tcW w:w="0" w:type="auto"/>
            <w:tcBorders>
              <w:top w:val="single" w:sz="4" w:space="0" w:color="auto"/>
              <w:left w:val="nil"/>
              <w:bottom w:val="single" w:sz="4" w:space="0" w:color="auto"/>
              <w:right w:val="single" w:sz="4" w:space="0" w:color="auto"/>
            </w:tcBorders>
            <w:hideMark/>
          </w:tcPr>
          <w:p w14:paraId="46753FF7"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Need of FDD/TDD differentiation</w:t>
            </w:r>
          </w:p>
        </w:tc>
        <w:tc>
          <w:tcPr>
            <w:tcW w:w="0" w:type="auto"/>
            <w:tcBorders>
              <w:top w:val="single" w:sz="4" w:space="0" w:color="auto"/>
              <w:left w:val="nil"/>
              <w:bottom w:val="single" w:sz="4" w:space="0" w:color="auto"/>
              <w:right w:val="single" w:sz="4" w:space="0" w:color="auto"/>
            </w:tcBorders>
            <w:hideMark/>
          </w:tcPr>
          <w:p w14:paraId="1B23BBDA"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Capability interpretation for mixture of FDD/TDD</w:t>
            </w:r>
          </w:p>
        </w:tc>
        <w:tc>
          <w:tcPr>
            <w:tcW w:w="0" w:type="auto"/>
            <w:tcBorders>
              <w:top w:val="single" w:sz="4" w:space="0" w:color="auto"/>
              <w:left w:val="nil"/>
              <w:bottom w:val="single" w:sz="4" w:space="0" w:color="auto"/>
              <w:right w:val="single" w:sz="4" w:space="0" w:color="auto"/>
            </w:tcBorders>
            <w:hideMark/>
          </w:tcPr>
          <w:p w14:paraId="44EA5ADC"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Note</w:t>
            </w:r>
          </w:p>
        </w:tc>
        <w:tc>
          <w:tcPr>
            <w:tcW w:w="0" w:type="auto"/>
            <w:tcBorders>
              <w:top w:val="single" w:sz="4" w:space="0" w:color="auto"/>
              <w:left w:val="nil"/>
              <w:bottom w:val="single" w:sz="4" w:space="0" w:color="auto"/>
              <w:right w:val="single" w:sz="4" w:space="0" w:color="auto"/>
            </w:tcBorders>
            <w:hideMark/>
          </w:tcPr>
          <w:p w14:paraId="6DAC7A64" w14:textId="77777777" w:rsidR="006C2B63" w:rsidRPr="006C2B63" w:rsidRDefault="006C2B63" w:rsidP="006C2B63">
            <w:pPr>
              <w:keepNext/>
              <w:keepLines/>
              <w:widowControl w:val="0"/>
              <w:overflowPunct w:val="0"/>
              <w:autoSpaceDE w:val="0"/>
              <w:autoSpaceDN w:val="0"/>
              <w:adjustRightInd w:val="0"/>
              <w:spacing w:after="0" w:line="254" w:lineRule="auto"/>
              <w:ind w:left="0"/>
              <w:jc w:val="center"/>
              <w:textAlignment w:val="baseline"/>
              <w:rPr>
                <w:rFonts w:ascii="Arial" w:eastAsia="Times New Roman" w:hAnsi="Arial" w:cs="Arial"/>
                <w:b/>
                <w:color w:val="000000"/>
                <w:sz w:val="18"/>
                <w:szCs w:val="18"/>
                <w:lang w:eastAsia="zh-CN"/>
              </w:rPr>
            </w:pPr>
            <w:r w:rsidRPr="006C2B63">
              <w:rPr>
                <w:rFonts w:ascii="Arial" w:eastAsia="Times New Roman" w:hAnsi="Arial" w:cs="Arial"/>
                <w:b/>
                <w:sz w:val="18"/>
                <w:szCs w:val="18"/>
                <w:lang w:eastAsia="zh-CN"/>
              </w:rPr>
              <w:t>Mandatory/Optional</w:t>
            </w:r>
          </w:p>
        </w:tc>
      </w:tr>
      <w:tr w:rsidR="0068268B" w:rsidRPr="006C2B63" w14:paraId="389CB4F2" w14:textId="77777777" w:rsidTr="006C2B63">
        <w:trPr>
          <w:trHeight w:val="20"/>
        </w:trPr>
        <w:tc>
          <w:tcPr>
            <w:tcW w:w="0" w:type="auto"/>
            <w:tcBorders>
              <w:top w:val="single" w:sz="4" w:space="0" w:color="auto"/>
              <w:left w:val="single" w:sz="4" w:space="0" w:color="auto"/>
              <w:bottom w:val="single" w:sz="4" w:space="0" w:color="auto"/>
              <w:right w:val="single" w:sz="4" w:space="0" w:color="auto"/>
            </w:tcBorders>
            <w:hideMark/>
          </w:tcPr>
          <w:p w14:paraId="14AA43B9"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color w:val="000000"/>
                <w:sz w:val="18"/>
                <w:szCs w:val="18"/>
                <w:lang w:eastAsia="zh-CN"/>
              </w:rPr>
              <w:t>2-</w:t>
            </w:r>
            <w:r w:rsidRPr="006C2B63">
              <w:rPr>
                <w:rFonts w:ascii="Arial" w:eastAsia="MS Mincho" w:hAnsi="Arial" w:cs="Arial" w:hint="eastAsia"/>
                <w:color w:val="000000"/>
                <w:sz w:val="18"/>
                <w:szCs w:val="18"/>
                <w:lang w:eastAsia="zh-CN"/>
              </w:rPr>
              <w:t>1</w:t>
            </w:r>
          </w:p>
        </w:tc>
        <w:tc>
          <w:tcPr>
            <w:tcW w:w="0" w:type="auto"/>
            <w:tcBorders>
              <w:top w:val="single" w:sz="4" w:space="0" w:color="auto"/>
              <w:left w:val="nil"/>
              <w:bottom w:val="single" w:sz="4" w:space="0" w:color="auto"/>
              <w:right w:val="single" w:sz="4" w:space="0" w:color="auto"/>
            </w:tcBorders>
            <w:hideMark/>
          </w:tcPr>
          <w:p w14:paraId="62F4DCEF"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hint="eastAsia"/>
                <w:color w:val="000000"/>
                <w:sz w:val="18"/>
                <w:szCs w:val="18"/>
                <w:lang w:eastAsia="zh-CN"/>
              </w:rPr>
              <w:t>Support of IoT-NTN TDD mode</w:t>
            </w:r>
          </w:p>
        </w:tc>
        <w:tc>
          <w:tcPr>
            <w:tcW w:w="0" w:type="auto"/>
            <w:tcBorders>
              <w:top w:val="single" w:sz="4" w:space="0" w:color="auto"/>
              <w:left w:val="nil"/>
              <w:bottom w:val="single" w:sz="4" w:space="0" w:color="auto"/>
              <w:right w:val="single" w:sz="4" w:space="0" w:color="auto"/>
            </w:tcBorders>
          </w:tcPr>
          <w:p w14:paraId="66CC96A9" w14:textId="77777777" w:rsidR="006C2B63" w:rsidRPr="006C2B63" w:rsidRDefault="006C2B63" w:rsidP="006C2B63">
            <w:pPr>
              <w:spacing w:after="0" w:line="254" w:lineRule="auto"/>
              <w:ind w:left="0"/>
              <w:jc w:val="left"/>
              <w:rPr>
                <w:rFonts w:ascii="Arial" w:eastAsia="MS Gothic" w:hAnsi="Arial" w:cs="Arial"/>
                <w:color w:val="000000"/>
                <w:sz w:val="18"/>
                <w:szCs w:val="18"/>
                <w:lang w:eastAsia="zh-CN"/>
              </w:rPr>
            </w:pPr>
            <w:r w:rsidRPr="006C2B63">
              <w:rPr>
                <w:rFonts w:ascii="Arial" w:eastAsia="MS Gothic" w:hAnsi="Arial" w:cs="Arial"/>
                <w:color w:val="000000"/>
                <w:sz w:val="18"/>
                <w:szCs w:val="18"/>
                <w:lang w:eastAsia="zh-CN"/>
              </w:rPr>
              <w:t>1. Support a TDD pattern with periodicity of N=9 radio frame</w:t>
            </w:r>
            <w:r w:rsidRPr="006C2B63">
              <w:rPr>
                <w:rFonts w:ascii="Arial" w:eastAsia="MS Gothic" w:hAnsi="Arial" w:cs="Arial" w:hint="eastAsia"/>
                <w:color w:val="000000"/>
                <w:sz w:val="18"/>
                <w:szCs w:val="18"/>
                <w:lang w:eastAsia="zh-CN"/>
              </w:rPr>
              <w:t>s</w:t>
            </w:r>
            <w:r w:rsidRPr="006C2B63">
              <w:rPr>
                <w:rFonts w:ascii="Arial" w:eastAsia="MS Gothic" w:hAnsi="Arial" w:cs="Arial"/>
                <w:color w:val="000000"/>
                <w:sz w:val="18"/>
                <w:szCs w:val="18"/>
                <w:lang w:eastAsia="zh-CN"/>
              </w:rPr>
              <w:t xml:space="preserve">, which consists of D=8 contiguous DL subframes and U=8 contiguous UL subframes. The guard period between the end of the DL subframes and the beginning of the UL subframes is fixed to be 50 </w:t>
            </w:r>
            <w:proofErr w:type="spellStart"/>
            <w:r w:rsidRPr="006C2B63">
              <w:rPr>
                <w:rFonts w:ascii="Arial" w:eastAsia="MS Gothic" w:hAnsi="Arial" w:cs="Arial"/>
                <w:color w:val="000000"/>
                <w:sz w:val="18"/>
                <w:szCs w:val="18"/>
                <w:lang w:eastAsia="zh-CN"/>
              </w:rPr>
              <w:t>ms</w:t>
            </w:r>
            <w:proofErr w:type="spellEnd"/>
            <w:r w:rsidRPr="006C2B63">
              <w:rPr>
                <w:rFonts w:ascii="Arial" w:eastAsia="MS Gothic" w:hAnsi="Arial" w:cs="Arial"/>
                <w:color w:val="000000"/>
                <w:sz w:val="18"/>
                <w:szCs w:val="18"/>
                <w:lang w:eastAsia="zh-CN"/>
              </w:rPr>
              <w:t xml:space="preserve"> at the ULSRP</w:t>
            </w:r>
          </w:p>
          <w:p w14:paraId="51BCC96E" w14:textId="77777777" w:rsidR="006C2B63" w:rsidRPr="006C2B63" w:rsidRDefault="006C2B63" w:rsidP="006C2B63">
            <w:pPr>
              <w:spacing w:after="0" w:line="254" w:lineRule="auto"/>
              <w:ind w:left="0"/>
              <w:jc w:val="left"/>
              <w:rPr>
                <w:rFonts w:ascii="Arial" w:eastAsia="MS Gothic" w:hAnsi="Arial" w:cs="Arial"/>
                <w:color w:val="000000"/>
                <w:sz w:val="18"/>
                <w:szCs w:val="18"/>
                <w:lang w:eastAsia="zh-CN"/>
              </w:rPr>
            </w:pPr>
            <w:r w:rsidRPr="006C2B63">
              <w:rPr>
                <w:rFonts w:ascii="Arial" w:eastAsia="MS Gothic" w:hAnsi="Arial" w:cs="Arial"/>
                <w:color w:val="000000"/>
                <w:sz w:val="18"/>
                <w:szCs w:val="18"/>
                <w:lang w:eastAsia="zh-CN"/>
              </w:rPr>
              <w:t>2. The DL subframes of pattern are fixed to subframes [3 4 5 6 7 8 9 0] across two consecutive radio frames.</w:t>
            </w:r>
          </w:p>
          <w:p w14:paraId="52885A59" w14:textId="77777777" w:rsidR="006C2B63" w:rsidRPr="006C2B63" w:rsidRDefault="006C2B63" w:rsidP="006C2B63">
            <w:pPr>
              <w:spacing w:after="0" w:line="254" w:lineRule="auto"/>
              <w:ind w:left="0"/>
              <w:jc w:val="left"/>
              <w:rPr>
                <w:rFonts w:ascii="Arial" w:eastAsia="MS Gothic" w:hAnsi="Arial" w:cs="Arial"/>
                <w:color w:val="000000"/>
                <w:sz w:val="18"/>
                <w:szCs w:val="18"/>
                <w:lang w:eastAsia="zh-CN"/>
              </w:rPr>
            </w:pPr>
            <w:r w:rsidRPr="006C2B63">
              <w:rPr>
                <w:rFonts w:ascii="Arial" w:eastAsia="MS Gothic" w:hAnsi="Arial" w:cs="Arial"/>
                <w:color w:val="000000"/>
                <w:sz w:val="18"/>
                <w:szCs w:val="18"/>
                <w:lang w:eastAsia="zh-CN"/>
              </w:rPr>
              <w:t>3. The non-U NB-IoT subframes are not considered by the UE as “NB-IoT UL subframes”</w:t>
            </w:r>
          </w:p>
          <w:p w14:paraId="53FEFCEB" w14:textId="77777777" w:rsidR="006C2B63" w:rsidRPr="006C2B63" w:rsidRDefault="006C2B63" w:rsidP="006C2B63">
            <w:pPr>
              <w:spacing w:after="0" w:line="254" w:lineRule="auto"/>
              <w:ind w:left="0"/>
              <w:jc w:val="left"/>
              <w:rPr>
                <w:rFonts w:ascii="Arial" w:eastAsia="MS Gothic" w:hAnsi="Arial" w:cs="Arial"/>
                <w:color w:val="000000"/>
                <w:sz w:val="18"/>
                <w:szCs w:val="18"/>
                <w:lang w:eastAsia="zh-CN"/>
              </w:rPr>
            </w:pPr>
            <w:r w:rsidRPr="006C2B63">
              <w:rPr>
                <w:rFonts w:ascii="Arial" w:eastAsia="MS Gothic" w:hAnsi="Arial" w:cs="Arial"/>
                <w:color w:val="000000"/>
                <w:sz w:val="18"/>
                <w:szCs w:val="18"/>
                <w:lang w:eastAsia="zh-CN"/>
              </w:rPr>
              <w:t>4. The non-D NB-IoT subframes are not considered by the UE as “NB-IoT DL subframes”</w:t>
            </w:r>
          </w:p>
          <w:p w14:paraId="7839B57C" w14:textId="6ACA4F96" w:rsidR="006C2B63" w:rsidRPr="006C2B63" w:rsidRDefault="006C2B63" w:rsidP="006C2B63">
            <w:pPr>
              <w:spacing w:after="0" w:line="254" w:lineRule="auto"/>
              <w:ind w:left="0"/>
              <w:jc w:val="left"/>
              <w:rPr>
                <w:rFonts w:ascii="Arial" w:eastAsia="MS Gothic" w:hAnsi="Arial" w:cs="Arial"/>
                <w:color w:val="000000"/>
                <w:sz w:val="18"/>
                <w:szCs w:val="18"/>
                <w:lang w:eastAsia="zh-CN"/>
              </w:rPr>
            </w:pPr>
            <w:r w:rsidRPr="006C2B63">
              <w:rPr>
                <w:rFonts w:ascii="Arial" w:eastAsia="MS Gothic" w:hAnsi="Arial" w:cs="Arial"/>
                <w:color w:val="000000"/>
                <w:sz w:val="18"/>
                <w:szCs w:val="18"/>
                <w:lang w:eastAsia="zh-CN"/>
              </w:rPr>
              <w:t>5. Support NPSS/NSSS/NPBCH</w:t>
            </w:r>
            <w:r w:rsidR="0068268B" w:rsidRPr="0068268B">
              <w:rPr>
                <w:rFonts w:ascii="Arial" w:eastAsia="MS Gothic" w:hAnsi="Arial" w:cs="Arial"/>
                <w:color w:val="FF0000"/>
                <w:sz w:val="18"/>
                <w:szCs w:val="18"/>
                <w:lang w:eastAsia="zh-CN"/>
              </w:rPr>
              <w:t>/SIB1-NB</w:t>
            </w:r>
            <w:r w:rsidRPr="006C2B63">
              <w:rPr>
                <w:rFonts w:ascii="Arial" w:eastAsia="MS Gothic" w:hAnsi="Arial" w:cs="Arial"/>
                <w:color w:val="000000"/>
                <w:sz w:val="18"/>
                <w:szCs w:val="18"/>
                <w:lang w:eastAsia="zh-CN"/>
              </w:rPr>
              <w:t xml:space="preserve"> transmissions dropped in non-D NB-IoT subframes</w:t>
            </w:r>
          </w:p>
          <w:p w14:paraId="58F44863" w14:textId="0D4EA0D8" w:rsidR="006C2B63" w:rsidRDefault="006C2B63" w:rsidP="006C2B63">
            <w:pPr>
              <w:spacing w:after="0" w:line="254" w:lineRule="auto"/>
              <w:ind w:left="0"/>
              <w:jc w:val="left"/>
              <w:rPr>
                <w:rFonts w:ascii="Arial" w:eastAsia="MS Gothic" w:hAnsi="Arial" w:cs="Arial"/>
                <w:color w:val="000000"/>
                <w:sz w:val="18"/>
                <w:szCs w:val="18"/>
                <w:lang w:eastAsia="zh-CN"/>
              </w:rPr>
            </w:pPr>
            <w:r w:rsidRPr="006C2B63">
              <w:rPr>
                <w:rFonts w:ascii="Arial" w:eastAsia="MS Gothic" w:hAnsi="Arial" w:cs="Arial" w:hint="eastAsia"/>
                <w:color w:val="000000"/>
                <w:sz w:val="18"/>
                <w:szCs w:val="18"/>
                <w:lang w:eastAsia="zh-CN"/>
              </w:rPr>
              <w:t xml:space="preserve">6. Postponement of </w:t>
            </w:r>
            <w:r w:rsidRPr="006C2B63">
              <w:rPr>
                <w:rFonts w:ascii="Arial" w:eastAsia="MS Gothic" w:hAnsi="Arial" w:cs="Arial"/>
                <w:color w:val="000000"/>
                <w:sz w:val="18"/>
                <w:szCs w:val="18"/>
                <w:lang w:eastAsia="zh-CN"/>
              </w:rPr>
              <w:t>NPRACH transmissions in non-U NB-IoT subframes until the next U NB-IoT subframe(s)</w:t>
            </w:r>
            <w:r w:rsidRPr="006C2B63">
              <w:rPr>
                <w:rFonts w:ascii="Arial" w:eastAsia="MS Gothic" w:hAnsi="Arial" w:cs="Arial" w:hint="eastAsia"/>
                <w:color w:val="000000"/>
                <w:sz w:val="18"/>
                <w:szCs w:val="18"/>
                <w:lang w:eastAsia="zh-CN"/>
              </w:rPr>
              <w:t>, where t</w:t>
            </w:r>
            <w:r w:rsidRPr="006C2B63">
              <w:rPr>
                <w:rFonts w:ascii="Arial" w:eastAsia="MS Gothic" w:hAnsi="Arial" w:cs="Arial"/>
                <w:color w:val="000000"/>
                <w:sz w:val="18"/>
                <w:szCs w:val="18"/>
                <w:lang w:eastAsia="zh-CN"/>
              </w:rPr>
              <w:t>he unit of postponement is one PRU.</w:t>
            </w:r>
          </w:p>
          <w:p w14:paraId="65B19109" w14:textId="42BF0BA1" w:rsidR="00262420" w:rsidRPr="00262420" w:rsidRDefault="00262420" w:rsidP="00262420">
            <w:pPr>
              <w:spacing w:after="0" w:line="254" w:lineRule="auto"/>
              <w:ind w:left="0"/>
              <w:jc w:val="left"/>
              <w:rPr>
                <w:rFonts w:ascii="Arial" w:eastAsia="MS Gothic" w:hAnsi="Arial" w:cs="Arial"/>
                <w:color w:val="FF0000"/>
                <w:sz w:val="18"/>
                <w:szCs w:val="18"/>
                <w:lang w:eastAsia="zh-CN"/>
              </w:rPr>
            </w:pPr>
            <w:r w:rsidRPr="00262420">
              <w:rPr>
                <w:rFonts w:ascii="Arial" w:eastAsia="MS Gothic" w:hAnsi="Arial" w:cs="Arial"/>
                <w:color w:val="FF0000"/>
                <w:sz w:val="18"/>
                <w:szCs w:val="18"/>
                <w:lang w:eastAsia="zh-CN"/>
              </w:rPr>
              <w:t>7</w:t>
            </w:r>
            <w:r w:rsidRPr="006C2B63">
              <w:rPr>
                <w:rFonts w:ascii="Arial" w:eastAsia="MS Gothic" w:hAnsi="Arial" w:cs="Arial" w:hint="eastAsia"/>
                <w:color w:val="FF0000"/>
                <w:sz w:val="18"/>
                <w:szCs w:val="18"/>
                <w:lang w:eastAsia="zh-CN"/>
              </w:rPr>
              <w:t xml:space="preserve">. </w:t>
            </w:r>
            <w:r w:rsidRPr="00262420">
              <w:rPr>
                <w:rFonts w:ascii="Arial" w:eastAsia="MS Gothic" w:hAnsi="Arial" w:cs="Arial"/>
                <w:color w:val="FF0000"/>
                <w:sz w:val="18"/>
                <w:szCs w:val="18"/>
                <w:lang w:eastAsia="zh-CN"/>
              </w:rPr>
              <w:t>NPRACH periodicities of 90ms and 180ms are supported instead of 40ms and 80ms in NB-IoT NTN TDD mode</w:t>
            </w:r>
          </w:p>
          <w:p w14:paraId="1C7D2955" w14:textId="5010F76E" w:rsidR="00262420" w:rsidRPr="006C2B63" w:rsidRDefault="00262420" w:rsidP="006C2B63">
            <w:pPr>
              <w:spacing w:after="0" w:line="254" w:lineRule="auto"/>
              <w:ind w:left="0"/>
              <w:jc w:val="left"/>
              <w:rPr>
                <w:rFonts w:ascii="Arial" w:eastAsiaTheme="minorEastAsia" w:hAnsi="Arial" w:cs="Arial"/>
                <w:color w:val="FF0000"/>
                <w:sz w:val="18"/>
                <w:szCs w:val="18"/>
                <w:lang w:eastAsia="zh-CN"/>
              </w:rPr>
            </w:pPr>
            <w:r w:rsidRPr="00262420">
              <w:rPr>
                <w:rFonts w:ascii="Arial" w:eastAsia="MS Gothic" w:hAnsi="Arial" w:cs="Arial"/>
                <w:color w:val="FF0000"/>
                <w:sz w:val="18"/>
                <w:szCs w:val="18"/>
                <w:lang w:eastAsia="zh-CN"/>
              </w:rPr>
              <w:t>8</w:t>
            </w:r>
            <w:r w:rsidRPr="006C2B63">
              <w:rPr>
                <w:rFonts w:ascii="Arial" w:eastAsia="MS Gothic" w:hAnsi="Arial" w:cs="Arial" w:hint="eastAsia"/>
                <w:color w:val="FF0000"/>
                <w:sz w:val="18"/>
                <w:szCs w:val="18"/>
                <w:lang w:eastAsia="zh-CN"/>
              </w:rPr>
              <w:t xml:space="preserve">. </w:t>
            </w:r>
            <w:r w:rsidRPr="00262420">
              <w:rPr>
                <w:rFonts w:ascii="Arial" w:eastAsia="MS Gothic" w:hAnsi="Arial" w:cs="Arial"/>
                <w:color w:val="FF0000"/>
                <w:sz w:val="18"/>
                <w:szCs w:val="18"/>
                <w:lang w:eastAsia="zh-CN"/>
              </w:rPr>
              <w:t>UE adjusts its time/frequency pre-compensation before the beginning of each set of consecutive 8 uplink subframes.</w:t>
            </w:r>
          </w:p>
          <w:p w14:paraId="2E89DF00" w14:textId="77777777" w:rsidR="006C2B63" w:rsidRPr="006C2B63" w:rsidRDefault="006C2B63" w:rsidP="006C2B63">
            <w:pPr>
              <w:spacing w:after="0" w:line="254" w:lineRule="auto"/>
              <w:ind w:left="0"/>
              <w:jc w:val="left"/>
              <w:rPr>
                <w:rFonts w:ascii="Arial" w:eastAsia="MS Gothic" w:hAnsi="Arial" w:cs="Arial"/>
                <w:color w:val="000000"/>
                <w:sz w:val="18"/>
                <w:szCs w:val="18"/>
                <w:lang w:eastAsia="zh-CN"/>
              </w:rPr>
            </w:pPr>
          </w:p>
          <w:p w14:paraId="7A3CBF17" w14:textId="77777777" w:rsidR="006C2B63" w:rsidRPr="006C2B63" w:rsidRDefault="006C2B63" w:rsidP="006C2B63">
            <w:pPr>
              <w:spacing w:after="0" w:line="254" w:lineRule="auto"/>
              <w:ind w:left="0"/>
              <w:jc w:val="left"/>
              <w:rPr>
                <w:rFonts w:ascii="Arial" w:eastAsia="MS Gothic" w:hAnsi="Arial" w:cs="Arial"/>
                <w:strike/>
                <w:color w:val="FF0000"/>
                <w:sz w:val="18"/>
                <w:szCs w:val="18"/>
                <w:lang w:eastAsia="zh-CN"/>
              </w:rPr>
            </w:pPr>
            <w:r w:rsidRPr="006C2B63">
              <w:rPr>
                <w:rFonts w:ascii="Arial" w:eastAsia="MS Gothic" w:hAnsi="Arial" w:cs="Arial" w:hint="eastAsia"/>
                <w:strike/>
                <w:color w:val="FF0000"/>
                <w:sz w:val="18"/>
                <w:szCs w:val="18"/>
                <w:highlight w:val="yellow"/>
                <w:lang w:eastAsia="zh-CN"/>
              </w:rPr>
              <w:t xml:space="preserve">[FFS Whether/how to capture components in Rel-17 2-1b, in case the FG is not defined to be the </w:t>
            </w:r>
            <w:r w:rsidRPr="006C2B63">
              <w:rPr>
                <w:rFonts w:ascii="Arial" w:eastAsia="MS Gothic" w:hAnsi="Arial" w:cs="Arial"/>
                <w:strike/>
                <w:color w:val="FF0000"/>
                <w:sz w:val="18"/>
                <w:szCs w:val="18"/>
                <w:highlight w:val="yellow"/>
                <w:lang w:eastAsia="zh-CN"/>
              </w:rPr>
              <w:t xml:space="preserve">prerequisite </w:t>
            </w:r>
            <w:r w:rsidRPr="006C2B63">
              <w:rPr>
                <w:rFonts w:ascii="Arial" w:eastAsia="MS Gothic" w:hAnsi="Arial" w:cs="Arial" w:hint="eastAsia"/>
                <w:strike/>
                <w:color w:val="FF0000"/>
                <w:sz w:val="18"/>
                <w:szCs w:val="18"/>
                <w:highlight w:val="yellow"/>
                <w:lang w:eastAsia="zh-CN"/>
              </w:rPr>
              <w:t>one.]</w:t>
            </w:r>
          </w:p>
          <w:p w14:paraId="077BC920" w14:textId="77777777" w:rsidR="006C2B63" w:rsidRPr="006C2B63" w:rsidRDefault="006C2B63" w:rsidP="006C2B63">
            <w:pPr>
              <w:spacing w:after="0" w:line="254" w:lineRule="auto"/>
              <w:ind w:left="0"/>
              <w:jc w:val="left"/>
              <w:rPr>
                <w:rFonts w:ascii="Arial" w:eastAsia="MS Gothic" w:hAnsi="Arial" w:cs="Arial"/>
                <w:color w:val="000000"/>
                <w:sz w:val="18"/>
                <w:szCs w:val="18"/>
                <w:lang w:eastAsia="zh-CN"/>
              </w:rPr>
            </w:pPr>
            <w:r w:rsidRPr="006C2B63">
              <w:rPr>
                <w:rFonts w:ascii="Arial" w:eastAsia="MS Gothic" w:hAnsi="Arial" w:cs="Arial" w:hint="eastAsia"/>
                <w:color w:val="000000"/>
                <w:sz w:val="18"/>
                <w:szCs w:val="18"/>
                <w:highlight w:val="yellow"/>
                <w:lang w:eastAsia="zh-CN"/>
              </w:rPr>
              <w:t>[FFS other component(s)/FG(s)]</w:t>
            </w:r>
          </w:p>
        </w:tc>
        <w:tc>
          <w:tcPr>
            <w:tcW w:w="0" w:type="auto"/>
            <w:tcBorders>
              <w:top w:val="single" w:sz="4" w:space="0" w:color="auto"/>
              <w:left w:val="nil"/>
              <w:bottom w:val="single" w:sz="4" w:space="0" w:color="auto"/>
              <w:right w:val="single" w:sz="4" w:space="0" w:color="auto"/>
            </w:tcBorders>
            <w:hideMark/>
          </w:tcPr>
          <w:p w14:paraId="32DF762A"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hint="eastAsia"/>
                <w:strike/>
                <w:color w:val="FF0000"/>
                <w:sz w:val="18"/>
                <w:szCs w:val="18"/>
                <w:highlight w:val="yellow"/>
                <w:lang w:eastAsia="zh-CN"/>
              </w:rPr>
              <w:t>[</w:t>
            </w:r>
            <w:r w:rsidRPr="006C2B63">
              <w:rPr>
                <w:rFonts w:ascii="Arial" w:eastAsia="MS Mincho" w:hAnsi="Arial" w:cs="Arial" w:hint="eastAsia"/>
                <w:color w:val="000000"/>
                <w:sz w:val="18"/>
                <w:szCs w:val="18"/>
                <w:highlight w:val="yellow"/>
                <w:lang w:eastAsia="zh-CN"/>
              </w:rPr>
              <w:t>Rel-17 2-1b</w:t>
            </w:r>
            <w:r w:rsidRPr="006C2B63">
              <w:rPr>
                <w:rFonts w:ascii="Arial" w:eastAsia="MS Mincho" w:hAnsi="Arial" w:cs="Arial" w:hint="eastAsia"/>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41C5032C"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hint="eastAsia"/>
                <w:color w:val="000000"/>
                <w:sz w:val="18"/>
                <w:szCs w:val="18"/>
                <w:lang w:eastAsia="zh-CN"/>
              </w:rPr>
              <w:t>Yes</w:t>
            </w:r>
          </w:p>
        </w:tc>
        <w:tc>
          <w:tcPr>
            <w:tcW w:w="0" w:type="auto"/>
            <w:tcBorders>
              <w:top w:val="single" w:sz="4" w:space="0" w:color="auto"/>
              <w:left w:val="nil"/>
              <w:bottom w:val="single" w:sz="4" w:space="0" w:color="auto"/>
              <w:right w:val="single" w:sz="4" w:space="0" w:color="auto"/>
            </w:tcBorders>
            <w:hideMark/>
          </w:tcPr>
          <w:p w14:paraId="3E1787A0"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hint="eastAsia"/>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27BADA65"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hint="eastAsia"/>
                <w:color w:val="000000"/>
                <w:sz w:val="18"/>
                <w:szCs w:val="18"/>
                <w:lang w:eastAsia="zh-CN"/>
              </w:rPr>
              <w:t>IoT-NTN TDD mode is not supported</w:t>
            </w:r>
          </w:p>
        </w:tc>
        <w:tc>
          <w:tcPr>
            <w:tcW w:w="0" w:type="auto"/>
            <w:tcBorders>
              <w:top w:val="single" w:sz="4" w:space="0" w:color="auto"/>
              <w:left w:val="nil"/>
              <w:bottom w:val="single" w:sz="4" w:space="0" w:color="auto"/>
              <w:right w:val="single" w:sz="4" w:space="0" w:color="auto"/>
            </w:tcBorders>
            <w:hideMark/>
          </w:tcPr>
          <w:p w14:paraId="4659234B"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hint="eastAsia"/>
                <w:strike/>
                <w:color w:val="FF0000"/>
                <w:sz w:val="18"/>
                <w:szCs w:val="18"/>
                <w:highlight w:val="yellow"/>
                <w:lang w:eastAsia="zh-CN"/>
              </w:rPr>
              <w:t xml:space="preserve">[Per UE or </w:t>
            </w:r>
            <w:r w:rsidRPr="006C2B63">
              <w:rPr>
                <w:rFonts w:ascii="Arial" w:eastAsia="MS Mincho" w:hAnsi="Arial" w:cs="Arial" w:hint="eastAsia"/>
                <w:color w:val="000000"/>
                <w:sz w:val="18"/>
                <w:szCs w:val="18"/>
                <w:highlight w:val="yellow"/>
                <w:lang w:eastAsia="zh-CN"/>
              </w:rPr>
              <w:t>Per band</w:t>
            </w:r>
            <w:r w:rsidRPr="006C2B63">
              <w:rPr>
                <w:rFonts w:ascii="Arial" w:eastAsia="MS Mincho" w:hAnsi="Arial" w:cs="Arial" w:hint="eastAsia"/>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64ABBC7A"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hint="eastAsia"/>
                <w:strike/>
                <w:color w:val="FF0000"/>
                <w:sz w:val="18"/>
                <w:szCs w:val="18"/>
                <w:highlight w:val="yellow"/>
                <w:lang w:eastAsia="zh-CN"/>
              </w:rPr>
              <w:t>[</w:t>
            </w:r>
            <w:r w:rsidRPr="006C2B63">
              <w:rPr>
                <w:rFonts w:ascii="Arial" w:eastAsia="MS Mincho" w:hAnsi="Arial" w:cs="Arial" w:hint="eastAsia"/>
                <w:color w:val="000000"/>
                <w:sz w:val="18"/>
                <w:szCs w:val="18"/>
                <w:highlight w:val="yellow"/>
                <w:lang w:eastAsia="zh-CN"/>
              </w:rPr>
              <w:t>TDD only</w:t>
            </w:r>
            <w:r w:rsidRPr="006C2B63">
              <w:rPr>
                <w:rFonts w:ascii="Arial" w:eastAsia="MS Mincho" w:hAnsi="Arial" w:cs="Arial" w:hint="eastAsia"/>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2B6A720F"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highlight w:val="yellow"/>
                <w:lang w:eastAsia="zh-CN"/>
              </w:rPr>
            </w:pPr>
            <w:r w:rsidRPr="006C2B63">
              <w:rPr>
                <w:rFonts w:ascii="Arial" w:eastAsia="MS Mincho" w:hAnsi="Arial" w:cs="Arial" w:hint="eastAsia"/>
                <w:strike/>
                <w:color w:val="FF0000"/>
                <w:sz w:val="18"/>
                <w:szCs w:val="18"/>
                <w:highlight w:val="yellow"/>
                <w:lang w:eastAsia="zh-CN"/>
              </w:rPr>
              <w:t>[</w:t>
            </w:r>
            <w:r w:rsidRPr="006C2B63">
              <w:rPr>
                <w:rFonts w:ascii="Arial" w:eastAsia="MS Mincho" w:hAnsi="Arial" w:cs="Arial" w:hint="eastAsia"/>
                <w:color w:val="000000"/>
                <w:sz w:val="18"/>
                <w:szCs w:val="18"/>
                <w:highlight w:val="yellow"/>
                <w:lang w:eastAsia="zh-CN"/>
              </w:rPr>
              <w:t>N/A</w:t>
            </w:r>
            <w:r w:rsidRPr="006C2B63">
              <w:rPr>
                <w:rFonts w:ascii="Arial" w:eastAsia="MS Mincho" w:hAnsi="Arial" w:cs="Arial" w:hint="eastAsia"/>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2DA665D8" w14:textId="77777777" w:rsidR="006C2B63" w:rsidRPr="006C2B63" w:rsidRDefault="006C2B63" w:rsidP="006C2B63">
            <w:pPr>
              <w:keepNext/>
              <w:keepLines/>
              <w:widowControl w:val="0"/>
              <w:spacing w:after="0" w:line="254" w:lineRule="auto"/>
              <w:ind w:left="0"/>
              <w:jc w:val="left"/>
              <w:rPr>
                <w:rFonts w:ascii="Arial" w:eastAsia="MS Mincho" w:hAnsi="Arial" w:cs="Arial"/>
                <w:color w:val="000000"/>
                <w:sz w:val="18"/>
                <w:szCs w:val="18"/>
                <w:lang w:eastAsia="zh-CN"/>
              </w:rPr>
            </w:pPr>
            <w:r w:rsidRPr="006C2B63">
              <w:rPr>
                <w:rFonts w:ascii="Arial" w:eastAsia="MS Mincho" w:hAnsi="Arial" w:cs="Arial"/>
                <w:color w:val="000000"/>
                <w:sz w:val="18"/>
                <w:szCs w:val="18"/>
                <w:lang w:eastAsia="zh-CN"/>
              </w:rPr>
              <w:t>Applicable only for 1616-1626.5 MHz MSS allocated band</w:t>
            </w:r>
          </w:p>
        </w:tc>
        <w:tc>
          <w:tcPr>
            <w:tcW w:w="0" w:type="auto"/>
            <w:tcBorders>
              <w:top w:val="single" w:sz="4" w:space="0" w:color="auto"/>
              <w:left w:val="nil"/>
              <w:bottom w:val="single" w:sz="4" w:space="0" w:color="auto"/>
              <w:right w:val="single" w:sz="4" w:space="0" w:color="auto"/>
            </w:tcBorders>
            <w:hideMark/>
          </w:tcPr>
          <w:p w14:paraId="4F2548EC" w14:textId="77777777" w:rsidR="006C2B63" w:rsidRPr="009E2106" w:rsidRDefault="006C2B63" w:rsidP="006C2B63">
            <w:pPr>
              <w:keepNext/>
              <w:keepLines/>
              <w:widowControl w:val="0"/>
              <w:spacing w:after="0" w:line="254" w:lineRule="auto"/>
              <w:ind w:left="0"/>
              <w:jc w:val="left"/>
              <w:rPr>
                <w:rFonts w:ascii="Arial" w:eastAsia="MS Mincho" w:hAnsi="Arial" w:cs="Arial"/>
                <w:strike/>
                <w:color w:val="FF0000"/>
                <w:sz w:val="18"/>
                <w:szCs w:val="18"/>
                <w:highlight w:val="yellow"/>
                <w:lang w:eastAsia="zh-CN"/>
              </w:rPr>
            </w:pPr>
            <w:r w:rsidRPr="006C2B63">
              <w:rPr>
                <w:rFonts w:ascii="Arial" w:eastAsia="MS Mincho" w:hAnsi="Arial" w:cs="Arial" w:hint="eastAsia"/>
                <w:strike/>
                <w:color w:val="FF0000"/>
                <w:sz w:val="18"/>
                <w:szCs w:val="18"/>
                <w:highlight w:val="yellow"/>
                <w:lang w:eastAsia="zh-CN"/>
              </w:rPr>
              <w:t>FFS</w:t>
            </w:r>
          </w:p>
          <w:p w14:paraId="646B73BA" w14:textId="77777777" w:rsidR="009E2106" w:rsidRPr="009E2106" w:rsidRDefault="009E2106" w:rsidP="009E2106">
            <w:pPr>
              <w:pStyle w:val="TAL"/>
              <w:ind w:left="0"/>
              <w:rPr>
                <w:rFonts w:cs="Arial"/>
                <w:color w:val="FF0000"/>
              </w:rPr>
            </w:pPr>
            <w:r w:rsidRPr="009E2106">
              <w:rPr>
                <w:rFonts w:cs="Arial"/>
                <w:color w:val="FF0000"/>
              </w:rPr>
              <w:t>Optional with capability signalling</w:t>
            </w:r>
          </w:p>
          <w:p w14:paraId="0943994A" w14:textId="77777777" w:rsidR="009E2106" w:rsidRPr="009E2106" w:rsidRDefault="009E2106" w:rsidP="009E2106">
            <w:pPr>
              <w:pStyle w:val="TAL"/>
              <w:ind w:left="0"/>
              <w:rPr>
                <w:rFonts w:cs="Arial"/>
                <w:color w:val="FF0000"/>
              </w:rPr>
            </w:pPr>
          </w:p>
          <w:p w14:paraId="639DD261" w14:textId="015C62E2" w:rsidR="009E2106" w:rsidRPr="006C2B63" w:rsidRDefault="009E2106" w:rsidP="009E2106">
            <w:pPr>
              <w:keepNext/>
              <w:keepLines/>
              <w:widowControl w:val="0"/>
              <w:spacing w:after="0" w:line="254" w:lineRule="auto"/>
              <w:ind w:left="0"/>
              <w:jc w:val="left"/>
              <w:rPr>
                <w:rFonts w:ascii="Arial" w:eastAsiaTheme="minorEastAsia" w:hAnsi="Arial" w:cs="Arial"/>
                <w:color w:val="000000"/>
                <w:sz w:val="18"/>
                <w:szCs w:val="18"/>
                <w:highlight w:val="yellow"/>
                <w:lang w:eastAsia="zh-CN"/>
              </w:rPr>
            </w:pPr>
            <w:r w:rsidRPr="009E2106">
              <w:rPr>
                <w:rFonts w:eastAsiaTheme="minorEastAsia" w:cs="Arial" w:hint="eastAsia"/>
                <w:color w:val="FF0000"/>
                <w:lang w:eastAsia="zh-CN"/>
              </w:rPr>
              <w:t>A</w:t>
            </w:r>
            <w:r w:rsidRPr="009E2106">
              <w:rPr>
                <w:rFonts w:eastAsiaTheme="minorEastAsia" w:cs="Arial"/>
                <w:color w:val="FF0000"/>
                <w:lang w:eastAsia="zh-CN"/>
              </w:rPr>
              <w:t xml:space="preserve"> UE supports access to satellite in </w:t>
            </w:r>
            <w:r w:rsidRPr="009E2106">
              <w:rPr>
                <w:color w:val="FF0000"/>
              </w:rPr>
              <w:t>1616-1626.5 MHz MSS allocated band must support this FG</w:t>
            </w:r>
          </w:p>
        </w:tc>
      </w:tr>
    </w:tbl>
    <w:p w14:paraId="21584914" w14:textId="77777777" w:rsidR="0033686A" w:rsidRDefault="0033686A">
      <w:pPr>
        <w:numPr>
          <w:ilvl w:val="255"/>
          <w:numId w:val="0"/>
        </w:numPr>
        <w:spacing w:after="0" w:line="240" w:lineRule="auto"/>
        <w:rPr>
          <w:lang w:val="en-GB" w:eastAsia="zh-CN"/>
        </w:rPr>
      </w:pPr>
    </w:p>
    <w:p w14:paraId="5E36217A" w14:textId="77777777" w:rsidR="0033686A" w:rsidRDefault="0033686A">
      <w:pPr>
        <w:jc w:val="center"/>
        <w:rPr>
          <w:lang w:eastAsia="zh-CN"/>
        </w:rPr>
      </w:pPr>
    </w:p>
    <w:p w14:paraId="5DAF25FA" w14:textId="77777777" w:rsidR="0033686A" w:rsidRDefault="00792793">
      <w:pPr>
        <w:tabs>
          <w:tab w:val="center" w:pos="6712"/>
        </w:tabs>
        <w:rPr>
          <w:lang w:eastAsia="zh-CN"/>
        </w:rPr>
        <w:sectPr w:rsidR="0033686A">
          <w:pgSz w:w="23814" w:h="16840" w:orient="landscape"/>
          <w:pgMar w:top="1418" w:right="1418" w:bottom="1418" w:left="1418" w:header="709" w:footer="709" w:gutter="0"/>
          <w:cols w:space="720"/>
          <w:docGrid w:linePitch="360"/>
        </w:sectPr>
      </w:pPr>
      <w:r>
        <w:rPr>
          <w:lang w:eastAsia="zh-CN"/>
        </w:rPr>
        <w:tab/>
      </w:r>
    </w:p>
    <w:bookmarkEnd w:id="3"/>
    <w:p w14:paraId="2350CDCD" w14:textId="77777777" w:rsidR="0033686A" w:rsidRDefault="00792793">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3EA2CCD3" w14:textId="6A7178B2" w:rsidR="0033686A" w:rsidRPr="0062472D" w:rsidRDefault="00BC7345" w:rsidP="0062472D">
      <w:pPr>
        <w:pStyle w:val="ListParagraph1"/>
        <w:numPr>
          <w:ilvl w:val="0"/>
          <w:numId w:val="6"/>
        </w:numPr>
        <w:spacing w:after="0" w:line="240" w:lineRule="auto"/>
        <w:rPr>
          <w:rFonts w:eastAsia="宋体"/>
          <w:lang w:eastAsia="zh-CN"/>
        </w:rPr>
      </w:pPr>
      <w:bookmarkStart w:id="7" w:name="_Ref134801178"/>
      <w:bookmarkStart w:id="8" w:name="_Ref141707356"/>
      <w:bookmarkStart w:id="9" w:name="_Ref110451335"/>
      <w:bookmarkStart w:id="10" w:name="_Ref118723839"/>
      <w:bookmarkStart w:id="11" w:name="_Ref102030302"/>
      <w:r w:rsidRPr="00BC7345">
        <w:rPr>
          <w:rFonts w:eastAsia="宋体"/>
          <w:lang w:eastAsia="zh-CN"/>
        </w:rPr>
        <w:t>R1-250</w:t>
      </w:r>
      <w:r w:rsidR="00D3047E">
        <w:rPr>
          <w:rFonts w:eastAsia="宋体"/>
          <w:lang w:eastAsia="zh-CN"/>
        </w:rPr>
        <w:t>2969</w:t>
      </w:r>
      <w:r w:rsidR="00792793">
        <w:rPr>
          <w:rFonts w:eastAsia="宋体" w:hint="eastAsia"/>
          <w:lang w:eastAsia="zh-CN"/>
        </w:rPr>
        <w:t xml:space="preserve">, </w:t>
      </w:r>
      <w:bookmarkEnd w:id="7"/>
      <w:r w:rsidR="00D3047E" w:rsidRPr="00D3047E">
        <w:rPr>
          <w:rFonts w:eastAsia="宋体"/>
          <w:lang w:eastAsia="zh-CN"/>
        </w:rPr>
        <w:t>Session Notes of AI 9.15.10</w:t>
      </w:r>
      <w:r w:rsidR="00792793">
        <w:t>, RAN1#1</w:t>
      </w:r>
      <w:bookmarkEnd w:id="8"/>
      <w:r>
        <w:t>2</w:t>
      </w:r>
      <w:r w:rsidR="00D3047E">
        <w:t>0bis</w:t>
      </w:r>
    </w:p>
    <w:bookmarkEnd w:id="9"/>
    <w:bookmarkEnd w:id="10"/>
    <w:bookmarkEnd w:id="11"/>
    <w:p w14:paraId="06989253" w14:textId="77777777" w:rsidR="0033686A" w:rsidRDefault="0033686A">
      <w:pPr>
        <w:spacing w:after="0" w:line="240" w:lineRule="auto"/>
        <w:ind w:left="0"/>
        <w:rPr>
          <w:lang w:eastAsia="zh-CN"/>
        </w:rPr>
      </w:pPr>
    </w:p>
    <w:sectPr w:rsidR="0033686A">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C4AE8" w14:textId="77777777" w:rsidR="004D6489" w:rsidRDefault="004D6489">
      <w:pPr>
        <w:spacing w:line="240" w:lineRule="auto"/>
      </w:pPr>
      <w:r>
        <w:separator/>
      </w:r>
    </w:p>
  </w:endnote>
  <w:endnote w:type="continuationSeparator" w:id="0">
    <w:p w14:paraId="0123B4AB" w14:textId="77777777" w:rsidR="004D6489" w:rsidRDefault="004D6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Qualcomm Office">
    <w:altName w:val="Segoe Print"/>
    <w:charset w:val="00"/>
    <w:family w:val="swiss"/>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35E5A" w14:textId="77777777" w:rsidR="0033686A" w:rsidRDefault="0033686A">
    <w:pPr>
      <w:pStyle w:val="af4"/>
      <w:jc w:val="center"/>
    </w:pPr>
  </w:p>
  <w:p w14:paraId="6F178C44" w14:textId="77777777" w:rsidR="0033686A" w:rsidRDefault="0033686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F581" w14:textId="77777777" w:rsidR="004D6489" w:rsidRDefault="004D6489">
      <w:pPr>
        <w:spacing w:after="0"/>
      </w:pPr>
      <w:r>
        <w:separator/>
      </w:r>
    </w:p>
  </w:footnote>
  <w:footnote w:type="continuationSeparator" w:id="0">
    <w:p w14:paraId="61BC47C3" w14:textId="77777777" w:rsidR="004D6489" w:rsidRDefault="004D64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0E67E2"/>
    <w:multiLevelType w:val="multilevel"/>
    <w:tmpl w:val="1130AA5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8B548A2"/>
    <w:multiLevelType w:val="multilevel"/>
    <w:tmpl w:val="8A9E377A"/>
    <w:lvl w:ilvl="0">
      <w:numFmt w:val="bullet"/>
      <w:lvlText w:val="•"/>
      <w:lvlJc w:val="left"/>
      <w:pPr>
        <w:tabs>
          <w:tab w:val="num" w:pos="0"/>
        </w:tabs>
        <w:ind w:left="846" w:hanging="420"/>
      </w:pPr>
      <w:rPr>
        <w:rFonts w:ascii="Times"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hint="default"/>
      </w:rPr>
    </w:lvl>
    <w:lvl w:ilvl="5">
      <w:start w:val="1"/>
      <w:numFmt w:val="bullet"/>
      <w:lvlText w:val=""/>
      <w:lvlJc w:val="left"/>
      <w:pPr>
        <w:tabs>
          <w:tab w:val="num" w:pos="0"/>
        </w:tabs>
        <w:ind w:left="2946" w:hanging="420"/>
      </w:pPr>
      <w:rPr>
        <w:rFonts w:ascii="Wingdings" w:hAnsi="Wingdings" w:hint="default"/>
      </w:rPr>
    </w:lvl>
    <w:lvl w:ilvl="6">
      <w:start w:val="1"/>
      <w:numFmt w:val="bullet"/>
      <w:lvlText w:val=""/>
      <w:lvlJc w:val="left"/>
      <w:pPr>
        <w:tabs>
          <w:tab w:val="num" w:pos="0"/>
        </w:tabs>
        <w:ind w:left="3366" w:hanging="420"/>
      </w:pPr>
      <w:rPr>
        <w:rFonts w:ascii="Wingdings" w:hAnsi="Wingdings" w:hint="default"/>
      </w:rPr>
    </w:lvl>
    <w:lvl w:ilvl="7">
      <w:start w:val="1"/>
      <w:numFmt w:val="bullet"/>
      <w:lvlText w:val=""/>
      <w:lvlJc w:val="left"/>
      <w:pPr>
        <w:tabs>
          <w:tab w:val="num" w:pos="0"/>
        </w:tabs>
        <w:ind w:left="3786" w:hanging="420"/>
      </w:pPr>
      <w:rPr>
        <w:rFonts w:ascii="Wingdings" w:hAnsi="Wingdings" w:hint="default"/>
      </w:rPr>
    </w:lvl>
    <w:lvl w:ilvl="8">
      <w:start w:val="1"/>
      <w:numFmt w:val="bullet"/>
      <w:lvlText w:val=""/>
      <w:lvlJc w:val="left"/>
      <w:pPr>
        <w:tabs>
          <w:tab w:val="num" w:pos="0"/>
        </w:tabs>
        <w:ind w:left="4206" w:hanging="420"/>
      </w:pPr>
      <w:rPr>
        <w:rFonts w:ascii="Wingdings" w:hAnsi="Wingdings" w:hint="default"/>
      </w:rPr>
    </w:lvl>
  </w:abstractNum>
  <w:abstractNum w:abstractNumId="3" w15:restartNumberingAfterBreak="0">
    <w:nsid w:val="09EB1D93"/>
    <w:multiLevelType w:val="multilevel"/>
    <w:tmpl w:val="AE0228E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4"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71B78"/>
    <w:multiLevelType w:val="multilevel"/>
    <w:tmpl w:val="F71A2A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96772B"/>
    <w:multiLevelType w:val="hybridMultilevel"/>
    <w:tmpl w:val="F7FE5B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C44F73"/>
    <w:multiLevelType w:val="multilevel"/>
    <w:tmpl w:val="8F9E1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565B9C"/>
    <w:multiLevelType w:val="hybridMultilevel"/>
    <w:tmpl w:val="91E238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C2057"/>
    <w:multiLevelType w:val="multilevel"/>
    <w:tmpl w:val="BBE498E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965724"/>
    <w:multiLevelType w:val="multilevel"/>
    <w:tmpl w:val="7A70ACE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6" w15:restartNumberingAfterBreak="0">
    <w:nsid w:val="4A4919DA"/>
    <w:multiLevelType w:val="multilevel"/>
    <w:tmpl w:val="E274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1553EC"/>
    <w:multiLevelType w:val="multilevel"/>
    <w:tmpl w:val="ABCC1C4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9"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980EED"/>
    <w:multiLevelType w:val="multilevel"/>
    <w:tmpl w:val="7C6CCBBC"/>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84611"/>
    <w:multiLevelType w:val="multilevel"/>
    <w:tmpl w:val="9B964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0D00C3"/>
    <w:multiLevelType w:val="hybridMultilevel"/>
    <w:tmpl w:val="F17E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A968C7"/>
    <w:multiLevelType w:val="hybridMultilevel"/>
    <w:tmpl w:val="B16A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22D5F"/>
    <w:multiLevelType w:val="hybridMultilevel"/>
    <w:tmpl w:val="E6C83A68"/>
    <w:lvl w:ilvl="0" w:tplc="F774B540">
      <w:start w:val="1"/>
      <w:numFmt w:val="decimal"/>
      <w:lvlText w:val="%1."/>
      <w:lvlJc w:val="left"/>
      <w:pPr>
        <w:ind w:left="324" w:hanging="360"/>
      </w:pPr>
      <w:rPr>
        <w:rFonts w:hint="default"/>
      </w:rPr>
    </w:lvl>
    <w:lvl w:ilvl="1" w:tplc="04090019">
      <w:start w:val="1"/>
      <w:numFmt w:val="lowerLetter"/>
      <w:lvlText w:val="%2)"/>
      <w:lvlJc w:val="left"/>
      <w:pPr>
        <w:ind w:left="804" w:hanging="420"/>
      </w:pPr>
    </w:lvl>
    <w:lvl w:ilvl="2" w:tplc="0409001B" w:tentative="1">
      <w:start w:val="1"/>
      <w:numFmt w:val="lowerRoman"/>
      <w:lvlText w:val="%3."/>
      <w:lvlJc w:val="right"/>
      <w:pPr>
        <w:ind w:left="1224" w:hanging="420"/>
      </w:pPr>
    </w:lvl>
    <w:lvl w:ilvl="3" w:tplc="0409000F" w:tentative="1">
      <w:start w:val="1"/>
      <w:numFmt w:val="decimal"/>
      <w:lvlText w:val="%4."/>
      <w:lvlJc w:val="left"/>
      <w:pPr>
        <w:ind w:left="1644" w:hanging="420"/>
      </w:pPr>
    </w:lvl>
    <w:lvl w:ilvl="4" w:tplc="04090019" w:tentative="1">
      <w:start w:val="1"/>
      <w:numFmt w:val="lowerLetter"/>
      <w:lvlText w:val="%5)"/>
      <w:lvlJc w:val="left"/>
      <w:pPr>
        <w:ind w:left="206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904" w:hanging="420"/>
      </w:pPr>
    </w:lvl>
    <w:lvl w:ilvl="7" w:tplc="04090019" w:tentative="1">
      <w:start w:val="1"/>
      <w:numFmt w:val="lowerLetter"/>
      <w:lvlText w:val="%8)"/>
      <w:lvlJc w:val="left"/>
      <w:pPr>
        <w:ind w:left="3324" w:hanging="420"/>
      </w:pPr>
    </w:lvl>
    <w:lvl w:ilvl="8" w:tplc="0409001B" w:tentative="1">
      <w:start w:val="1"/>
      <w:numFmt w:val="lowerRoman"/>
      <w:lvlText w:val="%9."/>
      <w:lvlJc w:val="right"/>
      <w:pPr>
        <w:ind w:left="3744" w:hanging="420"/>
      </w:pPr>
    </w:lvl>
  </w:abstractNum>
  <w:abstractNum w:abstractNumId="26" w15:restartNumberingAfterBreak="0">
    <w:nsid w:val="7AD62E6D"/>
    <w:multiLevelType w:val="multilevel"/>
    <w:tmpl w:val="6E86A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8"/>
  </w:num>
  <w:num w:numId="8">
    <w:abstractNumId w:val="24"/>
  </w:num>
  <w:num w:numId="9">
    <w:abstractNumId w:val="23"/>
  </w:num>
  <w:num w:numId="10">
    <w:abstractNumId w:val="7"/>
  </w:num>
  <w:num w:numId="11">
    <w:abstractNumId w:val="11"/>
  </w:num>
  <w:num w:numId="12">
    <w:abstractNumId w:val="20"/>
  </w:num>
  <w:num w:numId="13">
    <w:abstractNumId w:val="3"/>
  </w:num>
  <w:num w:numId="14">
    <w:abstractNumId w:val="13"/>
  </w:num>
  <w:num w:numId="15">
    <w:abstractNumId w:val="2"/>
  </w:num>
  <w:num w:numId="16">
    <w:abstractNumId w:val="18"/>
  </w:num>
  <w:num w:numId="17">
    <w:abstractNumId w:val="1"/>
  </w:num>
  <w:num w:numId="18">
    <w:abstractNumId w:val="26"/>
  </w:num>
  <w:num w:numId="19">
    <w:abstractNumId w:val="16"/>
  </w:num>
  <w:num w:numId="20">
    <w:abstractNumId w:val="22"/>
  </w:num>
  <w:num w:numId="21">
    <w:abstractNumId w:val="5"/>
  </w:num>
  <w:num w:numId="22">
    <w:abstractNumId w:val="9"/>
  </w:num>
  <w:num w:numId="23">
    <w:abstractNumId w:val="25"/>
  </w:num>
  <w:num w:numId="24">
    <w:abstractNumId w:val="10"/>
  </w:num>
  <w:num w:numId="25">
    <w:abstractNumId w:val="19"/>
  </w:num>
  <w:num w:numId="26">
    <w:abstractNumId w:val="21"/>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36"/>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3E24"/>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55A0"/>
    <w:rsid w:val="000D643A"/>
    <w:rsid w:val="000D6BFE"/>
    <w:rsid w:val="000D7F36"/>
    <w:rsid w:val="000E0050"/>
    <w:rsid w:val="000E00F0"/>
    <w:rsid w:val="000E0566"/>
    <w:rsid w:val="000E0666"/>
    <w:rsid w:val="000E0D7C"/>
    <w:rsid w:val="000E0F54"/>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DED"/>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6CE"/>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4D2"/>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58B"/>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20"/>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209"/>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067"/>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68E"/>
    <w:rsid w:val="003B4789"/>
    <w:rsid w:val="003B47A7"/>
    <w:rsid w:val="003B47C1"/>
    <w:rsid w:val="003B483B"/>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8E7"/>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AEF"/>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489"/>
    <w:rsid w:val="004D6BF2"/>
    <w:rsid w:val="004D6C86"/>
    <w:rsid w:val="004D6D2E"/>
    <w:rsid w:val="004D703B"/>
    <w:rsid w:val="004D7459"/>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943"/>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68B"/>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76"/>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985"/>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833"/>
    <w:rsid w:val="006C0B18"/>
    <w:rsid w:val="006C13C3"/>
    <w:rsid w:val="006C177A"/>
    <w:rsid w:val="006C1843"/>
    <w:rsid w:val="006C214A"/>
    <w:rsid w:val="006C233F"/>
    <w:rsid w:val="006C2B63"/>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0E33"/>
    <w:rsid w:val="00751161"/>
    <w:rsid w:val="00751293"/>
    <w:rsid w:val="0075155C"/>
    <w:rsid w:val="00752017"/>
    <w:rsid w:val="00752817"/>
    <w:rsid w:val="0075289C"/>
    <w:rsid w:val="007529E5"/>
    <w:rsid w:val="00752BA4"/>
    <w:rsid w:val="00752D7B"/>
    <w:rsid w:val="00753000"/>
    <w:rsid w:val="00753203"/>
    <w:rsid w:val="00753519"/>
    <w:rsid w:val="00753A4D"/>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2A9B"/>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3E0"/>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3BE8"/>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C28"/>
    <w:rsid w:val="008C5F4D"/>
    <w:rsid w:val="008C65F3"/>
    <w:rsid w:val="008C7367"/>
    <w:rsid w:val="008C74B0"/>
    <w:rsid w:val="008C782B"/>
    <w:rsid w:val="008C79D4"/>
    <w:rsid w:val="008C7F71"/>
    <w:rsid w:val="008D07CA"/>
    <w:rsid w:val="008D080D"/>
    <w:rsid w:val="008D0862"/>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6A4F"/>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9CB"/>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106"/>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216F"/>
    <w:rsid w:val="009F320F"/>
    <w:rsid w:val="009F36F8"/>
    <w:rsid w:val="009F371F"/>
    <w:rsid w:val="009F3D11"/>
    <w:rsid w:val="009F448E"/>
    <w:rsid w:val="009F46AF"/>
    <w:rsid w:val="009F4A98"/>
    <w:rsid w:val="009F51EF"/>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2B1"/>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4F34"/>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345"/>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0A0"/>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29D4"/>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59A"/>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47E"/>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46"/>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6DC5"/>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3B22"/>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2F3A"/>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1E18"/>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6FBE"/>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1FB"/>
    <w:rsid w:val="00F637DD"/>
    <w:rsid w:val="00F64725"/>
    <w:rsid w:val="00F64B75"/>
    <w:rsid w:val="00F6502F"/>
    <w:rsid w:val="00F6526A"/>
    <w:rsid w:val="00F6558F"/>
    <w:rsid w:val="00F657D0"/>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12ACC"/>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 w:type="paragraph" w:customStyle="1" w:styleId="33">
    <w:name w:val="正文3"/>
    <w:rsid w:val="000D55A0"/>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136417">
      <w:bodyDiv w:val="1"/>
      <w:marLeft w:val="0"/>
      <w:marRight w:val="0"/>
      <w:marTop w:val="0"/>
      <w:marBottom w:val="0"/>
      <w:divBdr>
        <w:top w:val="none" w:sz="0" w:space="0" w:color="auto"/>
        <w:left w:val="none" w:sz="0" w:space="0" w:color="auto"/>
        <w:bottom w:val="none" w:sz="0" w:space="0" w:color="auto"/>
        <w:right w:val="none" w:sz="0" w:space="0" w:color="auto"/>
      </w:divBdr>
    </w:div>
    <w:div w:id="293020718">
      <w:bodyDiv w:val="1"/>
      <w:marLeft w:val="0"/>
      <w:marRight w:val="0"/>
      <w:marTop w:val="0"/>
      <w:marBottom w:val="0"/>
      <w:divBdr>
        <w:top w:val="none" w:sz="0" w:space="0" w:color="auto"/>
        <w:left w:val="none" w:sz="0" w:space="0" w:color="auto"/>
        <w:bottom w:val="none" w:sz="0" w:space="0" w:color="auto"/>
        <w:right w:val="none" w:sz="0" w:space="0" w:color="auto"/>
      </w:divBdr>
    </w:div>
    <w:div w:id="296186952">
      <w:bodyDiv w:val="1"/>
      <w:marLeft w:val="0"/>
      <w:marRight w:val="0"/>
      <w:marTop w:val="0"/>
      <w:marBottom w:val="0"/>
      <w:divBdr>
        <w:top w:val="none" w:sz="0" w:space="0" w:color="auto"/>
        <w:left w:val="none" w:sz="0" w:space="0" w:color="auto"/>
        <w:bottom w:val="none" w:sz="0" w:space="0" w:color="auto"/>
        <w:right w:val="none" w:sz="0" w:space="0" w:color="auto"/>
      </w:divBdr>
    </w:div>
    <w:div w:id="350375800">
      <w:bodyDiv w:val="1"/>
      <w:marLeft w:val="0"/>
      <w:marRight w:val="0"/>
      <w:marTop w:val="0"/>
      <w:marBottom w:val="0"/>
      <w:divBdr>
        <w:top w:val="none" w:sz="0" w:space="0" w:color="auto"/>
        <w:left w:val="none" w:sz="0" w:space="0" w:color="auto"/>
        <w:bottom w:val="none" w:sz="0" w:space="0" w:color="auto"/>
        <w:right w:val="none" w:sz="0" w:space="0" w:color="auto"/>
      </w:divBdr>
    </w:div>
    <w:div w:id="456459032">
      <w:bodyDiv w:val="1"/>
      <w:marLeft w:val="0"/>
      <w:marRight w:val="0"/>
      <w:marTop w:val="0"/>
      <w:marBottom w:val="0"/>
      <w:divBdr>
        <w:top w:val="none" w:sz="0" w:space="0" w:color="auto"/>
        <w:left w:val="none" w:sz="0" w:space="0" w:color="auto"/>
        <w:bottom w:val="none" w:sz="0" w:space="0" w:color="auto"/>
        <w:right w:val="none" w:sz="0" w:space="0" w:color="auto"/>
      </w:divBdr>
    </w:div>
    <w:div w:id="457377590">
      <w:bodyDiv w:val="1"/>
      <w:marLeft w:val="0"/>
      <w:marRight w:val="0"/>
      <w:marTop w:val="0"/>
      <w:marBottom w:val="0"/>
      <w:divBdr>
        <w:top w:val="none" w:sz="0" w:space="0" w:color="auto"/>
        <w:left w:val="none" w:sz="0" w:space="0" w:color="auto"/>
        <w:bottom w:val="none" w:sz="0" w:space="0" w:color="auto"/>
        <w:right w:val="none" w:sz="0" w:space="0" w:color="auto"/>
      </w:divBdr>
    </w:div>
    <w:div w:id="473261038">
      <w:bodyDiv w:val="1"/>
      <w:marLeft w:val="0"/>
      <w:marRight w:val="0"/>
      <w:marTop w:val="0"/>
      <w:marBottom w:val="0"/>
      <w:divBdr>
        <w:top w:val="none" w:sz="0" w:space="0" w:color="auto"/>
        <w:left w:val="none" w:sz="0" w:space="0" w:color="auto"/>
        <w:bottom w:val="none" w:sz="0" w:space="0" w:color="auto"/>
        <w:right w:val="none" w:sz="0" w:space="0" w:color="auto"/>
      </w:divBdr>
    </w:div>
    <w:div w:id="484780572">
      <w:bodyDiv w:val="1"/>
      <w:marLeft w:val="0"/>
      <w:marRight w:val="0"/>
      <w:marTop w:val="0"/>
      <w:marBottom w:val="0"/>
      <w:divBdr>
        <w:top w:val="none" w:sz="0" w:space="0" w:color="auto"/>
        <w:left w:val="none" w:sz="0" w:space="0" w:color="auto"/>
        <w:bottom w:val="none" w:sz="0" w:space="0" w:color="auto"/>
        <w:right w:val="none" w:sz="0" w:space="0" w:color="auto"/>
      </w:divBdr>
    </w:div>
    <w:div w:id="644428192">
      <w:bodyDiv w:val="1"/>
      <w:marLeft w:val="0"/>
      <w:marRight w:val="0"/>
      <w:marTop w:val="0"/>
      <w:marBottom w:val="0"/>
      <w:divBdr>
        <w:top w:val="none" w:sz="0" w:space="0" w:color="auto"/>
        <w:left w:val="none" w:sz="0" w:space="0" w:color="auto"/>
        <w:bottom w:val="none" w:sz="0" w:space="0" w:color="auto"/>
        <w:right w:val="none" w:sz="0" w:space="0" w:color="auto"/>
      </w:divBdr>
    </w:div>
    <w:div w:id="671834030">
      <w:bodyDiv w:val="1"/>
      <w:marLeft w:val="0"/>
      <w:marRight w:val="0"/>
      <w:marTop w:val="0"/>
      <w:marBottom w:val="0"/>
      <w:divBdr>
        <w:top w:val="none" w:sz="0" w:space="0" w:color="auto"/>
        <w:left w:val="none" w:sz="0" w:space="0" w:color="auto"/>
        <w:bottom w:val="none" w:sz="0" w:space="0" w:color="auto"/>
        <w:right w:val="none" w:sz="0" w:space="0" w:color="auto"/>
      </w:divBdr>
    </w:div>
    <w:div w:id="789205612">
      <w:bodyDiv w:val="1"/>
      <w:marLeft w:val="0"/>
      <w:marRight w:val="0"/>
      <w:marTop w:val="0"/>
      <w:marBottom w:val="0"/>
      <w:divBdr>
        <w:top w:val="none" w:sz="0" w:space="0" w:color="auto"/>
        <w:left w:val="none" w:sz="0" w:space="0" w:color="auto"/>
        <w:bottom w:val="none" w:sz="0" w:space="0" w:color="auto"/>
        <w:right w:val="none" w:sz="0" w:space="0" w:color="auto"/>
      </w:divBdr>
    </w:div>
    <w:div w:id="833566676">
      <w:bodyDiv w:val="1"/>
      <w:marLeft w:val="0"/>
      <w:marRight w:val="0"/>
      <w:marTop w:val="0"/>
      <w:marBottom w:val="0"/>
      <w:divBdr>
        <w:top w:val="none" w:sz="0" w:space="0" w:color="auto"/>
        <w:left w:val="none" w:sz="0" w:space="0" w:color="auto"/>
        <w:bottom w:val="none" w:sz="0" w:space="0" w:color="auto"/>
        <w:right w:val="none" w:sz="0" w:space="0" w:color="auto"/>
      </w:divBdr>
    </w:div>
    <w:div w:id="850870825">
      <w:bodyDiv w:val="1"/>
      <w:marLeft w:val="0"/>
      <w:marRight w:val="0"/>
      <w:marTop w:val="0"/>
      <w:marBottom w:val="0"/>
      <w:divBdr>
        <w:top w:val="none" w:sz="0" w:space="0" w:color="auto"/>
        <w:left w:val="none" w:sz="0" w:space="0" w:color="auto"/>
        <w:bottom w:val="none" w:sz="0" w:space="0" w:color="auto"/>
        <w:right w:val="none" w:sz="0" w:space="0" w:color="auto"/>
      </w:divBdr>
    </w:div>
    <w:div w:id="854658975">
      <w:bodyDiv w:val="1"/>
      <w:marLeft w:val="0"/>
      <w:marRight w:val="0"/>
      <w:marTop w:val="0"/>
      <w:marBottom w:val="0"/>
      <w:divBdr>
        <w:top w:val="none" w:sz="0" w:space="0" w:color="auto"/>
        <w:left w:val="none" w:sz="0" w:space="0" w:color="auto"/>
        <w:bottom w:val="none" w:sz="0" w:space="0" w:color="auto"/>
        <w:right w:val="none" w:sz="0" w:space="0" w:color="auto"/>
      </w:divBdr>
    </w:div>
    <w:div w:id="875316363">
      <w:bodyDiv w:val="1"/>
      <w:marLeft w:val="0"/>
      <w:marRight w:val="0"/>
      <w:marTop w:val="0"/>
      <w:marBottom w:val="0"/>
      <w:divBdr>
        <w:top w:val="none" w:sz="0" w:space="0" w:color="auto"/>
        <w:left w:val="none" w:sz="0" w:space="0" w:color="auto"/>
        <w:bottom w:val="none" w:sz="0" w:space="0" w:color="auto"/>
        <w:right w:val="none" w:sz="0" w:space="0" w:color="auto"/>
      </w:divBdr>
    </w:div>
    <w:div w:id="949701343">
      <w:bodyDiv w:val="1"/>
      <w:marLeft w:val="0"/>
      <w:marRight w:val="0"/>
      <w:marTop w:val="0"/>
      <w:marBottom w:val="0"/>
      <w:divBdr>
        <w:top w:val="none" w:sz="0" w:space="0" w:color="auto"/>
        <w:left w:val="none" w:sz="0" w:space="0" w:color="auto"/>
        <w:bottom w:val="none" w:sz="0" w:space="0" w:color="auto"/>
        <w:right w:val="none" w:sz="0" w:space="0" w:color="auto"/>
      </w:divBdr>
    </w:div>
    <w:div w:id="1035620271">
      <w:bodyDiv w:val="1"/>
      <w:marLeft w:val="0"/>
      <w:marRight w:val="0"/>
      <w:marTop w:val="0"/>
      <w:marBottom w:val="0"/>
      <w:divBdr>
        <w:top w:val="none" w:sz="0" w:space="0" w:color="auto"/>
        <w:left w:val="none" w:sz="0" w:space="0" w:color="auto"/>
        <w:bottom w:val="none" w:sz="0" w:space="0" w:color="auto"/>
        <w:right w:val="none" w:sz="0" w:space="0" w:color="auto"/>
      </w:divBdr>
    </w:div>
    <w:div w:id="1097553454">
      <w:bodyDiv w:val="1"/>
      <w:marLeft w:val="0"/>
      <w:marRight w:val="0"/>
      <w:marTop w:val="0"/>
      <w:marBottom w:val="0"/>
      <w:divBdr>
        <w:top w:val="none" w:sz="0" w:space="0" w:color="auto"/>
        <w:left w:val="none" w:sz="0" w:space="0" w:color="auto"/>
        <w:bottom w:val="none" w:sz="0" w:space="0" w:color="auto"/>
        <w:right w:val="none" w:sz="0" w:space="0" w:color="auto"/>
      </w:divBdr>
    </w:div>
    <w:div w:id="1189102196">
      <w:bodyDiv w:val="1"/>
      <w:marLeft w:val="0"/>
      <w:marRight w:val="0"/>
      <w:marTop w:val="0"/>
      <w:marBottom w:val="0"/>
      <w:divBdr>
        <w:top w:val="none" w:sz="0" w:space="0" w:color="auto"/>
        <w:left w:val="none" w:sz="0" w:space="0" w:color="auto"/>
        <w:bottom w:val="none" w:sz="0" w:space="0" w:color="auto"/>
        <w:right w:val="none" w:sz="0" w:space="0" w:color="auto"/>
      </w:divBdr>
    </w:div>
    <w:div w:id="1210220100">
      <w:bodyDiv w:val="1"/>
      <w:marLeft w:val="0"/>
      <w:marRight w:val="0"/>
      <w:marTop w:val="0"/>
      <w:marBottom w:val="0"/>
      <w:divBdr>
        <w:top w:val="none" w:sz="0" w:space="0" w:color="auto"/>
        <w:left w:val="none" w:sz="0" w:space="0" w:color="auto"/>
        <w:bottom w:val="none" w:sz="0" w:space="0" w:color="auto"/>
        <w:right w:val="none" w:sz="0" w:space="0" w:color="auto"/>
      </w:divBdr>
    </w:div>
    <w:div w:id="1280409282">
      <w:bodyDiv w:val="1"/>
      <w:marLeft w:val="0"/>
      <w:marRight w:val="0"/>
      <w:marTop w:val="0"/>
      <w:marBottom w:val="0"/>
      <w:divBdr>
        <w:top w:val="none" w:sz="0" w:space="0" w:color="auto"/>
        <w:left w:val="none" w:sz="0" w:space="0" w:color="auto"/>
        <w:bottom w:val="none" w:sz="0" w:space="0" w:color="auto"/>
        <w:right w:val="none" w:sz="0" w:space="0" w:color="auto"/>
      </w:divBdr>
    </w:div>
    <w:div w:id="1496067798">
      <w:bodyDiv w:val="1"/>
      <w:marLeft w:val="0"/>
      <w:marRight w:val="0"/>
      <w:marTop w:val="0"/>
      <w:marBottom w:val="0"/>
      <w:divBdr>
        <w:top w:val="none" w:sz="0" w:space="0" w:color="auto"/>
        <w:left w:val="none" w:sz="0" w:space="0" w:color="auto"/>
        <w:bottom w:val="none" w:sz="0" w:space="0" w:color="auto"/>
        <w:right w:val="none" w:sz="0" w:space="0" w:color="auto"/>
      </w:divBdr>
    </w:div>
    <w:div w:id="1572812106">
      <w:bodyDiv w:val="1"/>
      <w:marLeft w:val="0"/>
      <w:marRight w:val="0"/>
      <w:marTop w:val="0"/>
      <w:marBottom w:val="0"/>
      <w:divBdr>
        <w:top w:val="none" w:sz="0" w:space="0" w:color="auto"/>
        <w:left w:val="none" w:sz="0" w:space="0" w:color="auto"/>
        <w:bottom w:val="none" w:sz="0" w:space="0" w:color="auto"/>
        <w:right w:val="none" w:sz="0" w:space="0" w:color="auto"/>
      </w:divBdr>
    </w:div>
    <w:div w:id="1598974730">
      <w:bodyDiv w:val="1"/>
      <w:marLeft w:val="0"/>
      <w:marRight w:val="0"/>
      <w:marTop w:val="0"/>
      <w:marBottom w:val="0"/>
      <w:divBdr>
        <w:top w:val="none" w:sz="0" w:space="0" w:color="auto"/>
        <w:left w:val="none" w:sz="0" w:space="0" w:color="auto"/>
        <w:bottom w:val="none" w:sz="0" w:space="0" w:color="auto"/>
        <w:right w:val="none" w:sz="0" w:space="0" w:color="auto"/>
      </w:divBdr>
    </w:div>
    <w:div w:id="1599483162">
      <w:bodyDiv w:val="1"/>
      <w:marLeft w:val="0"/>
      <w:marRight w:val="0"/>
      <w:marTop w:val="0"/>
      <w:marBottom w:val="0"/>
      <w:divBdr>
        <w:top w:val="none" w:sz="0" w:space="0" w:color="auto"/>
        <w:left w:val="none" w:sz="0" w:space="0" w:color="auto"/>
        <w:bottom w:val="none" w:sz="0" w:space="0" w:color="auto"/>
        <w:right w:val="none" w:sz="0" w:space="0" w:color="auto"/>
      </w:divBdr>
    </w:div>
    <w:div w:id="1655837981">
      <w:bodyDiv w:val="1"/>
      <w:marLeft w:val="0"/>
      <w:marRight w:val="0"/>
      <w:marTop w:val="0"/>
      <w:marBottom w:val="0"/>
      <w:divBdr>
        <w:top w:val="none" w:sz="0" w:space="0" w:color="auto"/>
        <w:left w:val="none" w:sz="0" w:space="0" w:color="auto"/>
        <w:bottom w:val="none" w:sz="0" w:space="0" w:color="auto"/>
        <w:right w:val="none" w:sz="0" w:space="0" w:color="auto"/>
      </w:divBdr>
    </w:div>
    <w:div w:id="1763718165">
      <w:bodyDiv w:val="1"/>
      <w:marLeft w:val="0"/>
      <w:marRight w:val="0"/>
      <w:marTop w:val="0"/>
      <w:marBottom w:val="0"/>
      <w:divBdr>
        <w:top w:val="none" w:sz="0" w:space="0" w:color="auto"/>
        <w:left w:val="none" w:sz="0" w:space="0" w:color="auto"/>
        <w:bottom w:val="none" w:sz="0" w:space="0" w:color="auto"/>
        <w:right w:val="none" w:sz="0" w:space="0" w:color="auto"/>
      </w:divBdr>
    </w:div>
    <w:div w:id="1775632659">
      <w:bodyDiv w:val="1"/>
      <w:marLeft w:val="0"/>
      <w:marRight w:val="0"/>
      <w:marTop w:val="0"/>
      <w:marBottom w:val="0"/>
      <w:divBdr>
        <w:top w:val="none" w:sz="0" w:space="0" w:color="auto"/>
        <w:left w:val="none" w:sz="0" w:space="0" w:color="auto"/>
        <w:bottom w:val="none" w:sz="0" w:space="0" w:color="auto"/>
        <w:right w:val="none" w:sz="0" w:space="0" w:color="auto"/>
      </w:divBdr>
    </w:div>
    <w:div w:id="1865483858">
      <w:bodyDiv w:val="1"/>
      <w:marLeft w:val="0"/>
      <w:marRight w:val="0"/>
      <w:marTop w:val="0"/>
      <w:marBottom w:val="0"/>
      <w:divBdr>
        <w:top w:val="none" w:sz="0" w:space="0" w:color="auto"/>
        <w:left w:val="none" w:sz="0" w:space="0" w:color="auto"/>
        <w:bottom w:val="none" w:sz="0" w:space="0" w:color="auto"/>
        <w:right w:val="none" w:sz="0" w:space="0" w:color="auto"/>
      </w:divBdr>
    </w:div>
    <w:div w:id="1980571584">
      <w:bodyDiv w:val="1"/>
      <w:marLeft w:val="0"/>
      <w:marRight w:val="0"/>
      <w:marTop w:val="0"/>
      <w:marBottom w:val="0"/>
      <w:divBdr>
        <w:top w:val="none" w:sz="0" w:space="0" w:color="auto"/>
        <w:left w:val="none" w:sz="0" w:space="0" w:color="auto"/>
        <w:bottom w:val="none" w:sz="0" w:space="0" w:color="auto"/>
        <w:right w:val="none" w:sz="0" w:space="0" w:color="auto"/>
      </w:divBdr>
    </w:div>
    <w:div w:id="2060742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AD60A-EEBA-405B-8DCD-0CD57013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4</Pages>
  <Words>881</Words>
  <Characters>5028</Characters>
  <Application>Microsoft Office Word</Application>
  <DocSecurity>0</DocSecurity>
  <Lines>41</Lines>
  <Paragraphs>11</Paragraphs>
  <ScaleCrop>false</ScaleCrop>
  <Company>ZTE</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42</cp:revision>
  <cp:lastPrinted>2017-11-10T22:24:00Z</cp:lastPrinted>
  <dcterms:created xsi:type="dcterms:W3CDTF">2023-08-09T08:15:00Z</dcterms:created>
  <dcterms:modified xsi:type="dcterms:W3CDTF">2025-05-07T08:47:00Z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